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24F" w:rsidRPr="003677CD" w:rsidRDefault="009C024F" w:rsidP="009C024F">
      <w:pPr>
        <w:pStyle w:val="Ttulo2"/>
      </w:pPr>
      <w:bookmarkStart w:id="0" w:name="_GoBack"/>
      <w:bookmarkEnd w:id="0"/>
      <w:r w:rsidRPr="003677CD">
        <w:t xml:space="preserve">ANEXO </w:t>
      </w:r>
      <w:r>
        <w:t>5</w:t>
      </w:r>
      <w:r w:rsidRPr="003677CD">
        <w:t xml:space="preserve">: FORMATO DE ASPECTOS RELEVANTES DE LA EVALUACIÓN </w:t>
      </w:r>
      <w:r>
        <w:t>(FARE)</w:t>
      </w:r>
      <w:r>
        <w:rPr>
          <w:rStyle w:val="Refdenotaalpie"/>
        </w:rPr>
        <w:footnoteReference w:id="1"/>
      </w:r>
    </w:p>
    <w:p w:rsidR="009C024F" w:rsidRPr="003677CD" w:rsidRDefault="009C024F" w:rsidP="009C024F">
      <w:pPr>
        <w:spacing w:after="0" w:line="240" w:lineRule="auto"/>
        <w:rPr>
          <w:rFonts w:ascii="Cambria" w:eastAsiaTheme="majorEastAsia" w:hAnsi="Cambria" w:cstheme="majorBidi"/>
          <w:b/>
          <w:bCs/>
          <w:i/>
        </w:rPr>
      </w:pPr>
    </w:p>
    <w:tbl>
      <w:tblPr>
        <w:tblW w:w="8941"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988"/>
        <w:gridCol w:w="1417"/>
        <w:gridCol w:w="2126"/>
        <w:gridCol w:w="1701"/>
        <w:gridCol w:w="443"/>
        <w:gridCol w:w="463"/>
        <w:gridCol w:w="1803"/>
      </w:tblGrid>
      <w:tr w:rsidR="009C024F" w:rsidRPr="00B071C5" w:rsidTr="00A36AE0">
        <w:trPr>
          <w:trHeight w:val="583"/>
          <w:jc w:val="center"/>
        </w:trPr>
        <w:tc>
          <w:tcPr>
            <w:tcW w:w="2405" w:type="dxa"/>
            <w:gridSpan w:val="2"/>
            <w:shd w:val="clear" w:color="auto" w:fill="AEAAAA" w:themeFill="background2" w:themeFillShade="BF"/>
            <w:vAlign w:val="center"/>
          </w:tcPr>
          <w:p w:rsidR="009C024F" w:rsidRPr="009C5481" w:rsidRDefault="009C024F" w:rsidP="00A36AE0">
            <w:pPr>
              <w:pStyle w:val="Textocuadroneg"/>
              <w:rPr>
                <w:rFonts w:ascii="Cambria" w:hAnsi="Cambria"/>
                <w:b w:val="0"/>
                <w:i/>
                <w:color w:val="FFFFFF" w:themeColor="background1"/>
                <w:sz w:val="16"/>
                <w:szCs w:val="16"/>
              </w:rPr>
            </w:pPr>
            <w:r w:rsidRPr="009C5481">
              <w:rPr>
                <w:rFonts w:ascii="Cambria" w:hAnsi="Cambria"/>
                <w:color w:val="FFFFFF" w:themeColor="background1"/>
                <w:sz w:val="16"/>
                <w:szCs w:val="16"/>
              </w:rPr>
              <w:t xml:space="preserve">Nombre de </w:t>
            </w:r>
            <w:r>
              <w:rPr>
                <w:rFonts w:ascii="Cambria" w:hAnsi="Cambria"/>
                <w:color w:val="FFFFFF" w:themeColor="background1"/>
                <w:sz w:val="16"/>
                <w:szCs w:val="16"/>
              </w:rPr>
              <w:t xml:space="preserve">la </w:t>
            </w:r>
            <w:r w:rsidRPr="009C5481">
              <w:rPr>
                <w:rFonts w:ascii="Cambria" w:hAnsi="Cambria"/>
                <w:color w:val="FFFFFF" w:themeColor="background1"/>
                <w:sz w:val="16"/>
                <w:szCs w:val="16"/>
              </w:rPr>
              <w:t>evaluación:</w:t>
            </w:r>
          </w:p>
        </w:tc>
        <w:tc>
          <w:tcPr>
            <w:tcW w:w="6536" w:type="dxa"/>
            <w:gridSpan w:val="5"/>
            <w:shd w:val="clear" w:color="auto" w:fill="AEAAAA" w:themeFill="background2" w:themeFillShade="BF"/>
            <w:vAlign w:val="center"/>
          </w:tcPr>
          <w:p w:rsidR="009C024F" w:rsidRPr="009C5481" w:rsidRDefault="00657087" w:rsidP="00A36AE0">
            <w:pPr>
              <w:pStyle w:val="Textocuadroneg"/>
              <w:rPr>
                <w:rFonts w:ascii="Cambria" w:hAnsi="Cambria"/>
                <w:b w:val="0"/>
                <w:color w:val="FFFFFF" w:themeColor="background1"/>
                <w:sz w:val="16"/>
                <w:szCs w:val="16"/>
              </w:rPr>
            </w:pPr>
            <w:r w:rsidRPr="00657087">
              <w:rPr>
                <w:rFonts w:ascii="Cambria" w:hAnsi="Cambria"/>
                <w:b w:val="0"/>
                <w:color w:val="FFFFFF" w:themeColor="background1"/>
                <w:sz w:val="16"/>
                <w:szCs w:val="16"/>
              </w:rPr>
              <w:t>Evaluación de</w:t>
            </w:r>
            <w:r w:rsidR="00BC4DF5">
              <w:rPr>
                <w:rFonts w:ascii="Cambria" w:hAnsi="Cambria"/>
                <w:b w:val="0"/>
                <w:color w:val="FFFFFF" w:themeColor="background1"/>
                <w:sz w:val="16"/>
                <w:szCs w:val="16"/>
              </w:rPr>
              <w:t>l</w:t>
            </w:r>
            <w:r w:rsidRPr="00657087">
              <w:rPr>
                <w:rFonts w:ascii="Cambria" w:hAnsi="Cambria"/>
                <w:b w:val="0"/>
                <w:color w:val="FFFFFF" w:themeColor="background1"/>
                <w:sz w:val="16"/>
                <w:szCs w:val="16"/>
              </w:rPr>
              <w:t xml:space="preserve"> Diseño del Programa Salud y Bienestar Comunitario</w:t>
            </w:r>
          </w:p>
        </w:tc>
      </w:tr>
      <w:tr w:rsidR="009C024F" w:rsidRPr="00B071C5" w:rsidTr="00A36AE0">
        <w:trPr>
          <w:trHeight w:val="583"/>
          <w:jc w:val="center"/>
        </w:trPr>
        <w:tc>
          <w:tcPr>
            <w:tcW w:w="2405" w:type="dxa"/>
            <w:gridSpan w:val="2"/>
            <w:shd w:val="clear" w:color="auto" w:fill="auto"/>
            <w:vAlign w:val="center"/>
          </w:tcPr>
          <w:p w:rsidR="009C024F" w:rsidRDefault="009C024F" w:rsidP="00A36AE0">
            <w:pPr>
              <w:pStyle w:val="Textocuadroneg"/>
              <w:rPr>
                <w:rFonts w:ascii="Cambria" w:hAnsi="Cambria"/>
                <w:sz w:val="16"/>
                <w:szCs w:val="16"/>
              </w:rPr>
            </w:pPr>
            <w:r>
              <w:rPr>
                <w:rFonts w:ascii="Cambria" w:hAnsi="Cambria"/>
                <w:sz w:val="16"/>
                <w:szCs w:val="16"/>
              </w:rPr>
              <w:t>Objetivo de la evaluación:</w:t>
            </w:r>
          </w:p>
        </w:tc>
        <w:tc>
          <w:tcPr>
            <w:tcW w:w="6536" w:type="dxa"/>
            <w:gridSpan w:val="5"/>
            <w:shd w:val="clear" w:color="auto" w:fill="auto"/>
            <w:vAlign w:val="center"/>
          </w:tcPr>
          <w:p w:rsidR="009C024F" w:rsidRPr="00E031E0" w:rsidRDefault="00657087" w:rsidP="00A36AE0">
            <w:pPr>
              <w:pStyle w:val="Textocuadroneg"/>
              <w:rPr>
                <w:rFonts w:ascii="Cambria" w:hAnsi="Cambria"/>
                <w:b w:val="0"/>
                <w:sz w:val="16"/>
                <w:szCs w:val="16"/>
              </w:rPr>
            </w:pPr>
            <w:r w:rsidRPr="00CC1BBE">
              <w:rPr>
                <w:rFonts w:ascii="Cambria" w:eastAsia="Times New Roman" w:hAnsi="Cambria" w:cs="Times New Roman"/>
                <w:b w:val="0"/>
                <w:i/>
                <w:noProof/>
                <w:sz w:val="16"/>
                <w:szCs w:val="16"/>
                <w:lang w:val="es-MX"/>
              </w:rPr>
              <w:t>Evaluar el diseño del Programa de Salud y Bienestar Comunitario (S251) con la finalidad de proveer información que retroalimente su diseño, gestión y resultados.</w:t>
            </w:r>
          </w:p>
        </w:tc>
      </w:tr>
      <w:tr w:rsidR="009C024F" w:rsidRPr="00B071C5" w:rsidTr="00A36AE0">
        <w:trPr>
          <w:trHeight w:val="583"/>
          <w:jc w:val="center"/>
        </w:trPr>
        <w:tc>
          <w:tcPr>
            <w:tcW w:w="2405" w:type="dxa"/>
            <w:gridSpan w:val="2"/>
            <w:shd w:val="clear" w:color="auto" w:fill="D9D9D9" w:themeFill="background1" w:themeFillShade="D9"/>
            <w:vAlign w:val="center"/>
          </w:tcPr>
          <w:p w:rsidR="009C024F" w:rsidRDefault="009C024F" w:rsidP="00A36AE0">
            <w:pPr>
              <w:pStyle w:val="Textocuadroneg"/>
              <w:rPr>
                <w:rFonts w:ascii="Cambria" w:hAnsi="Cambria"/>
                <w:sz w:val="16"/>
                <w:szCs w:val="16"/>
              </w:rPr>
            </w:pPr>
            <w:r>
              <w:rPr>
                <w:rFonts w:ascii="Cambria" w:hAnsi="Cambria"/>
                <w:sz w:val="16"/>
                <w:szCs w:val="16"/>
              </w:rPr>
              <w:t xml:space="preserve">Tipo de evaluación: </w:t>
            </w:r>
          </w:p>
        </w:tc>
        <w:tc>
          <w:tcPr>
            <w:tcW w:w="3827" w:type="dxa"/>
            <w:gridSpan w:val="2"/>
            <w:shd w:val="clear" w:color="auto" w:fill="D9D9D9" w:themeFill="background1" w:themeFillShade="D9"/>
            <w:vAlign w:val="center"/>
          </w:tcPr>
          <w:p w:rsidR="009C024F" w:rsidRPr="00E031E0" w:rsidRDefault="00657087" w:rsidP="00A36AE0">
            <w:pPr>
              <w:pStyle w:val="Textocuadroneg"/>
              <w:rPr>
                <w:rFonts w:ascii="Cambria" w:hAnsi="Cambria"/>
                <w:b w:val="0"/>
                <w:sz w:val="16"/>
                <w:szCs w:val="16"/>
              </w:rPr>
            </w:pPr>
            <w:r w:rsidRPr="00657087">
              <w:rPr>
                <w:rFonts w:ascii="Cambria" w:hAnsi="Cambria"/>
                <w:b w:val="0"/>
                <w:sz w:val="16"/>
                <w:szCs w:val="16"/>
              </w:rPr>
              <w:t>Evaluación en materia de Diseño</w:t>
            </w:r>
          </w:p>
        </w:tc>
        <w:tc>
          <w:tcPr>
            <w:tcW w:w="906" w:type="dxa"/>
            <w:gridSpan w:val="2"/>
            <w:shd w:val="clear" w:color="auto" w:fill="D9D9D9" w:themeFill="background1" w:themeFillShade="D9"/>
            <w:vAlign w:val="center"/>
          </w:tcPr>
          <w:p w:rsidR="009C024F" w:rsidRPr="0056676C" w:rsidRDefault="009C024F" w:rsidP="00A36AE0">
            <w:pPr>
              <w:pStyle w:val="Textocuadroneg"/>
              <w:rPr>
                <w:rFonts w:ascii="Cambria" w:hAnsi="Cambria"/>
                <w:sz w:val="16"/>
                <w:szCs w:val="16"/>
              </w:rPr>
            </w:pPr>
            <w:r w:rsidRPr="0056676C">
              <w:rPr>
                <w:rFonts w:ascii="Cambria" w:hAnsi="Cambria"/>
                <w:sz w:val="16"/>
                <w:szCs w:val="16"/>
              </w:rPr>
              <w:t xml:space="preserve">PAE: </w:t>
            </w:r>
          </w:p>
        </w:tc>
        <w:tc>
          <w:tcPr>
            <w:tcW w:w="1803" w:type="dxa"/>
            <w:shd w:val="clear" w:color="auto" w:fill="D9D9D9" w:themeFill="background1" w:themeFillShade="D9"/>
            <w:vAlign w:val="center"/>
          </w:tcPr>
          <w:p w:rsidR="009C024F" w:rsidRPr="00E031E0" w:rsidRDefault="00657087" w:rsidP="00A36AE0">
            <w:pPr>
              <w:pStyle w:val="Textocuadroneg"/>
              <w:rPr>
                <w:rFonts w:ascii="Cambria" w:hAnsi="Cambria"/>
                <w:b w:val="0"/>
                <w:sz w:val="16"/>
                <w:szCs w:val="16"/>
              </w:rPr>
            </w:pPr>
            <w:r>
              <w:rPr>
                <w:rFonts w:ascii="Cambria" w:hAnsi="Cambria"/>
                <w:b w:val="0"/>
                <w:sz w:val="16"/>
                <w:szCs w:val="16"/>
              </w:rPr>
              <w:t>2020</w:t>
            </w:r>
          </w:p>
        </w:tc>
      </w:tr>
      <w:tr w:rsidR="009C024F" w:rsidRPr="00950A2D" w:rsidTr="00A36AE0">
        <w:trPr>
          <w:trHeight w:val="583"/>
          <w:jc w:val="center"/>
        </w:trPr>
        <w:tc>
          <w:tcPr>
            <w:tcW w:w="988" w:type="dxa"/>
            <w:shd w:val="clear" w:color="auto" w:fill="auto"/>
            <w:vAlign w:val="center"/>
            <w:hideMark/>
          </w:tcPr>
          <w:p w:rsidR="009C024F" w:rsidRPr="00B071C5" w:rsidRDefault="009C024F" w:rsidP="00A36AE0">
            <w:pPr>
              <w:pStyle w:val="CABEZA"/>
              <w:spacing w:before="0" w:after="0"/>
              <w:ind w:left="0"/>
              <w:rPr>
                <w:rFonts w:ascii="Cambria" w:hAnsi="Cambria"/>
                <w:b/>
                <w:sz w:val="16"/>
                <w:szCs w:val="16"/>
                <w:lang w:val="es-MX"/>
              </w:rPr>
            </w:pPr>
            <w:r>
              <w:rPr>
                <w:rFonts w:ascii="Cambria" w:hAnsi="Cambria"/>
                <w:b/>
                <w:sz w:val="16"/>
                <w:szCs w:val="16"/>
                <w:lang w:val="es-MX"/>
              </w:rPr>
              <w:t>Ramo:</w:t>
            </w:r>
          </w:p>
        </w:tc>
        <w:tc>
          <w:tcPr>
            <w:tcW w:w="7953" w:type="dxa"/>
            <w:gridSpan w:val="6"/>
            <w:shd w:val="clear" w:color="auto" w:fill="auto"/>
            <w:vAlign w:val="center"/>
          </w:tcPr>
          <w:p w:rsidR="009C024F" w:rsidRPr="00BF4C4D" w:rsidRDefault="00D46B3C" w:rsidP="00D46B3C">
            <w:pPr>
              <w:pStyle w:val="CABEZA"/>
              <w:ind w:left="0"/>
              <w:rPr>
                <w:rFonts w:ascii="Cambria" w:hAnsi="Cambria"/>
                <w:sz w:val="16"/>
                <w:szCs w:val="16"/>
                <w:lang w:val="es-MX"/>
              </w:rPr>
            </w:pPr>
            <w:r w:rsidRPr="00D46B3C">
              <w:rPr>
                <w:rFonts w:ascii="Cambria" w:hAnsi="Cambria"/>
                <w:i/>
                <w:sz w:val="16"/>
                <w:szCs w:val="16"/>
                <w:lang w:val="es-MX"/>
              </w:rPr>
              <w:t>Ramo 12, clave NHK</w:t>
            </w:r>
          </w:p>
        </w:tc>
      </w:tr>
      <w:tr w:rsidR="009C024F" w:rsidRPr="00950A2D" w:rsidTr="00A36AE0">
        <w:trPr>
          <w:trHeight w:val="583"/>
          <w:jc w:val="center"/>
        </w:trPr>
        <w:tc>
          <w:tcPr>
            <w:tcW w:w="988" w:type="dxa"/>
            <w:shd w:val="clear" w:color="auto" w:fill="E7E6E6" w:themeFill="background2"/>
            <w:vAlign w:val="center"/>
            <w:hideMark/>
          </w:tcPr>
          <w:p w:rsidR="009C024F" w:rsidRPr="00950A2D" w:rsidRDefault="009C024F" w:rsidP="00A36AE0">
            <w:pPr>
              <w:pStyle w:val="Textocuadroneg"/>
              <w:rPr>
                <w:rFonts w:ascii="Cambria" w:hAnsi="Cambria"/>
                <w:sz w:val="16"/>
                <w:szCs w:val="16"/>
              </w:rPr>
            </w:pPr>
            <w:r w:rsidRPr="00950A2D">
              <w:rPr>
                <w:rFonts w:ascii="Cambria" w:hAnsi="Cambria"/>
                <w:sz w:val="16"/>
                <w:szCs w:val="16"/>
              </w:rPr>
              <w:t>Clave Pp</w:t>
            </w:r>
            <w:r>
              <w:rPr>
                <w:rFonts w:ascii="Cambria" w:hAnsi="Cambria"/>
                <w:sz w:val="16"/>
                <w:szCs w:val="16"/>
              </w:rPr>
              <w:t>:</w:t>
            </w:r>
          </w:p>
        </w:tc>
        <w:tc>
          <w:tcPr>
            <w:tcW w:w="1417" w:type="dxa"/>
            <w:shd w:val="clear" w:color="auto" w:fill="E7E6E6" w:themeFill="background2"/>
            <w:vAlign w:val="center"/>
            <w:hideMark/>
          </w:tcPr>
          <w:p w:rsidR="009C024F" w:rsidRPr="00950A2D" w:rsidRDefault="00657087" w:rsidP="00A36AE0">
            <w:pPr>
              <w:pStyle w:val="Textocuadro"/>
              <w:rPr>
                <w:rFonts w:ascii="Cambria" w:hAnsi="Cambria"/>
                <w:sz w:val="16"/>
                <w:szCs w:val="16"/>
              </w:rPr>
            </w:pPr>
            <w:r>
              <w:rPr>
                <w:rFonts w:ascii="Cambria" w:hAnsi="Cambria"/>
                <w:sz w:val="16"/>
                <w:szCs w:val="16"/>
              </w:rPr>
              <w:t>S251</w:t>
            </w:r>
            <w:r w:rsidR="009C024F" w:rsidRPr="00950A2D">
              <w:rPr>
                <w:rFonts w:ascii="Cambria" w:hAnsi="Cambria"/>
                <w:sz w:val="16"/>
                <w:szCs w:val="16"/>
              </w:rPr>
              <w:t xml:space="preserve"> </w:t>
            </w:r>
          </w:p>
        </w:tc>
        <w:tc>
          <w:tcPr>
            <w:tcW w:w="2126" w:type="dxa"/>
            <w:shd w:val="clear" w:color="auto" w:fill="E7E6E6" w:themeFill="background2"/>
            <w:vAlign w:val="center"/>
            <w:hideMark/>
          </w:tcPr>
          <w:p w:rsidR="009C024F" w:rsidRPr="00950A2D" w:rsidRDefault="009C024F" w:rsidP="00A36AE0">
            <w:pPr>
              <w:pStyle w:val="Textocuadroneg"/>
              <w:rPr>
                <w:rFonts w:ascii="Cambria" w:hAnsi="Cambria"/>
                <w:sz w:val="16"/>
                <w:szCs w:val="16"/>
              </w:rPr>
            </w:pPr>
            <w:r w:rsidRPr="00950A2D">
              <w:rPr>
                <w:rFonts w:ascii="Cambria" w:hAnsi="Cambria"/>
                <w:sz w:val="16"/>
                <w:szCs w:val="16"/>
              </w:rPr>
              <w:t>Denominación Pp</w:t>
            </w:r>
            <w:r>
              <w:rPr>
                <w:rFonts w:ascii="Cambria" w:hAnsi="Cambria"/>
                <w:sz w:val="16"/>
                <w:szCs w:val="16"/>
              </w:rPr>
              <w:t>:</w:t>
            </w:r>
          </w:p>
        </w:tc>
        <w:tc>
          <w:tcPr>
            <w:tcW w:w="4410" w:type="dxa"/>
            <w:gridSpan w:val="4"/>
            <w:shd w:val="clear" w:color="auto" w:fill="E7E6E6" w:themeFill="background2"/>
            <w:vAlign w:val="center"/>
            <w:hideMark/>
          </w:tcPr>
          <w:p w:rsidR="009C024F" w:rsidRPr="000313B8" w:rsidRDefault="00CC1BBE" w:rsidP="00A36AE0">
            <w:pPr>
              <w:pStyle w:val="Textocuadro"/>
              <w:rPr>
                <w:rFonts w:ascii="Cambria" w:hAnsi="Cambria"/>
                <w:i/>
                <w:sz w:val="16"/>
                <w:szCs w:val="16"/>
              </w:rPr>
            </w:pPr>
            <w:r w:rsidRPr="00CC1BBE">
              <w:rPr>
                <w:rFonts w:ascii="Cambria" w:hAnsi="Cambria"/>
                <w:i/>
                <w:sz w:val="16"/>
                <w:szCs w:val="16"/>
              </w:rPr>
              <w:t>Programa de Salud y Bienestar Comunitario</w:t>
            </w:r>
          </w:p>
        </w:tc>
      </w:tr>
      <w:tr w:rsidR="009C024F" w:rsidRPr="00950A2D" w:rsidTr="00A36AE0">
        <w:trPr>
          <w:trHeight w:val="583"/>
          <w:jc w:val="center"/>
        </w:trPr>
        <w:tc>
          <w:tcPr>
            <w:tcW w:w="2405" w:type="dxa"/>
            <w:gridSpan w:val="2"/>
            <w:shd w:val="clear" w:color="auto" w:fill="auto"/>
            <w:vAlign w:val="center"/>
            <w:hideMark/>
          </w:tcPr>
          <w:p w:rsidR="009C024F" w:rsidRPr="00950A2D" w:rsidRDefault="009C024F" w:rsidP="00A36AE0">
            <w:pPr>
              <w:pStyle w:val="Textocuadroneg"/>
              <w:rPr>
                <w:rFonts w:ascii="Cambria" w:hAnsi="Cambria"/>
                <w:sz w:val="16"/>
                <w:szCs w:val="16"/>
              </w:rPr>
            </w:pPr>
            <w:r w:rsidRPr="00950A2D">
              <w:rPr>
                <w:rFonts w:ascii="Cambria" w:hAnsi="Cambria"/>
                <w:sz w:val="16"/>
                <w:szCs w:val="16"/>
              </w:rPr>
              <w:t xml:space="preserve">Unidad Administrativa </w:t>
            </w:r>
            <w:r>
              <w:rPr>
                <w:rFonts w:ascii="Cambria" w:hAnsi="Cambria"/>
                <w:sz w:val="16"/>
                <w:szCs w:val="16"/>
              </w:rPr>
              <w:t>(UA)</w:t>
            </w:r>
          </w:p>
        </w:tc>
        <w:tc>
          <w:tcPr>
            <w:tcW w:w="6536" w:type="dxa"/>
            <w:gridSpan w:val="5"/>
            <w:shd w:val="clear" w:color="auto" w:fill="auto"/>
            <w:vAlign w:val="center"/>
            <w:hideMark/>
          </w:tcPr>
          <w:p w:rsidR="009C024F" w:rsidRPr="00BC4DF5" w:rsidRDefault="00BC4DF5" w:rsidP="00A36AE0">
            <w:pPr>
              <w:pStyle w:val="Textocuadro"/>
              <w:rPr>
                <w:rFonts w:ascii="Cambria" w:hAnsi="Cambria"/>
                <w:sz w:val="16"/>
                <w:szCs w:val="16"/>
                <w:highlight w:val="yellow"/>
                <w:lang w:val="es-MX"/>
              </w:rPr>
            </w:pPr>
            <w:r w:rsidRPr="00D46B3C">
              <w:rPr>
                <w:rFonts w:ascii="Cambria" w:hAnsi="Cambria"/>
                <w:sz w:val="16"/>
                <w:szCs w:val="16"/>
                <w:lang w:val="es-MX"/>
              </w:rPr>
              <w:t>Sistema Nacional para el Desarrollo Integral de la Familia</w:t>
            </w:r>
          </w:p>
        </w:tc>
      </w:tr>
      <w:tr w:rsidR="009C024F" w:rsidRPr="00950A2D" w:rsidTr="00A36AE0">
        <w:trPr>
          <w:trHeight w:val="317"/>
          <w:jc w:val="center"/>
        </w:trPr>
        <w:tc>
          <w:tcPr>
            <w:tcW w:w="2405" w:type="dxa"/>
            <w:gridSpan w:val="2"/>
            <w:vMerge w:val="restart"/>
            <w:shd w:val="clear" w:color="auto" w:fill="E7E6E6" w:themeFill="background2"/>
            <w:vAlign w:val="center"/>
          </w:tcPr>
          <w:p w:rsidR="009C024F" w:rsidRPr="00950A2D" w:rsidRDefault="009C024F" w:rsidP="00A36AE0">
            <w:pPr>
              <w:pStyle w:val="Textocuadroneg"/>
              <w:rPr>
                <w:rFonts w:ascii="Cambria" w:hAnsi="Cambria"/>
                <w:sz w:val="16"/>
                <w:szCs w:val="16"/>
              </w:rPr>
            </w:pPr>
            <w:r>
              <w:rPr>
                <w:rFonts w:ascii="Cambria" w:hAnsi="Cambria"/>
                <w:sz w:val="16"/>
                <w:szCs w:val="16"/>
              </w:rPr>
              <w:t>Instancia Evaluadora (IE)</w:t>
            </w:r>
          </w:p>
        </w:tc>
        <w:tc>
          <w:tcPr>
            <w:tcW w:w="2126" w:type="dxa"/>
            <w:shd w:val="clear" w:color="auto" w:fill="E7E6E6" w:themeFill="background2"/>
            <w:vAlign w:val="center"/>
          </w:tcPr>
          <w:p w:rsidR="009C024F" w:rsidRPr="003D254F" w:rsidRDefault="009C024F" w:rsidP="00A36AE0">
            <w:pPr>
              <w:pStyle w:val="Textocuadroneg"/>
              <w:rPr>
                <w:rFonts w:ascii="Cambria" w:hAnsi="Cambria"/>
                <w:sz w:val="16"/>
                <w:szCs w:val="16"/>
              </w:rPr>
            </w:pPr>
            <w:r w:rsidRPr="003D254F">
              <w:rPr>
                <w:rFonts w:ascii="Cambria" w:hAnsi="Cambria"/>
                <w:sz w:val="16"/>
                <w:szCs w:val="16"/>
              </w:rPr>
              <w:t xml:space="preserve">Denominación: </w:t>
            </w:r>
          </w:p>
        </w:tc>
        <w:tc>
          <w:tcPr>
            <w:tcW w:w="4410" w:type="dxa"/>
            <w:gridSpan w:val="4"/>
            <w:shd w:val="clear" w:color="auto" w:fill="E7E6E6" w:themeFill="background2"/>
            <w:vAlign w:val="center"/>
          </w:tcPr>
          <w:p w:rsidR="009C024F" w:rsidRPr="003D254F" w:rsidRDefault="00CC1BBE" w:rsidP="00A36AE0">
            <w:pPr>
              <w:pStyle w:val="Textocuadro"/>
              <w:spacing w:before="0"/>
            </w:pPr>
            <w:r w:rsidRPr="00CC1BBE">
              <w:rPr>
                <w:rFonts w:ascii="Cambria" w:hAnsi="Cambria"/>
                <w:i/>
                <w:sz w:val="16"/>
                <w:szCs w:val="16"/>
              </w:rPr>
              <w:t>UNAM</w:t>
            </w:r>
          </w:p>
        </w:tc>
      </w:tr>
      <w:tr w:rsidR="009C024F" w:rsidRPr="00950A2D" w:rsidTr="00A36AE0">
        <w:trPr>
          <w:trHeight w:val="293"/>
          <w:jc w:val="center"/>
        </w:trPr>
        <w:tc>
          <w:tcPr>
            <w:tcW w:w="2405" w:type="dxa"/>
            <w:gridSpan w:val="2"/>
            <w:vMerge/>
            <w:shd w:val="clear" w:color="auto" w:fill="E7E6E6" w:themeFill="background2"/>
            <w:vAlign w:val="center"/>
          </w:tcPr>
          <w:p w:rsidR="009C024F" w:rsidRDefault="009C024F" w:rsidP="00A36AE0">
            <w:pPr>
              <w:pStyle w:val="Textocuadroneg"/>
              <w:rPr>
                <w:rFonts w:ascii="Cambria" w:hAnsi="Cambria"/>
                <w:sz w:val="16"/>
                <w:szCs w:val="16"/>
              </w:rPr>
            </w:pPr>
          </w:p>
        </w:tc>
        <w:tc>
          <w:tcPr>
            <w:tcW w:w="2126" w:type="dxa"/>
            <w:shd w:val="clear" w:color="auto" w:fill="E7E6E6" w:themeFill="background2"/>
            <w:vAlign w:val="center"/>
          </w:tcPr>
          <w:p w:rsidR="009C024F" w:rsidRPr="00950A2D" w:rsidRDefault="009C024F" w:rsidP="00A36AE0">
            <w:pPr>
              <w:pStyle w:val="Textocuadroneg"/>
              <w:rPr>
                <w:rFonts w:ascii="Cambria" w:hAnsi="Cambria"/>
                <w:sz w:val="16"/>
                <w:szCs w:val="16"/>
              </w:rPr>
            </w:pPr>
            <w:r>
              <w:rPr>
                <w:rFonts w:ascii="Cambria" w:hAnsi="Cambria"/>
                <w:sz w:val="16"/>
                <w:szCs w:val="16"/>
              </w:rPr>
              <w:t>Coordinador(a):</w:t>
            </w:r>
          </w:p>
        </w:tc>
        <w:tc>
          <w:tcPr>
            <w:tcW w:w="4410" w:type="dxa"/>
            <w:gridSpan w:val="4"/>
            <w:shd w:val="clear" w:color="auto" w:fill="E7E6E6" w:themeFill="background2"/>
            <w:vAlign w:val="center"/>
          </w:tcPr>
          <w:p w:rsidR="009C024F" w:rsidRPr="00D46B3C" w:rsidRDefault="00657087" w:rsidP="00D46B3C">
            <w:pPr>
              <w:pStyle w:val="CABEZA"/>
              <w:ind w:left="0"/>
              <w:rPr>
                <w:rFonts w:ascii="Cambria" w:hAnsi="Cambria"/>
                <w:i/>
                <w:sz w:val="16"/>
                <w:szCs w:val="16"/>
                <w:lang w:val="es-MX"/>
              </w:rPr>
            </w:pPr>
            <w:r w:rsidRPr="00D46B3C">
              <w:rPr>
                <w:rFonts w:ascii="Cambria" w:hAnsi="Cambria"/>
                <w:i/>
                <w:sz w:val="16"/>
                <w:szCs w:val="16"/>
                <w:lang w:val="es-MX"/>
              </w:rPr>
              <w:t>Israel Manuel Banegas González</w:t>
            </w:r>
          </w:p>
        </w:tc>
      </w:tr>
      <w:tr w:rsidR="009C024F" w:rsidRPr="00E3769D" w:rsidTr="00A36AE0">
        <w:trPr>
          <w:trHeight w:val="397"/>
          <w:jc w:val="center"/>
        </w:trPr>
        <w:tc>
          <w:tcPr>
            <w:tcW w:w="2405" w:type="dxa"/>
            <w:gridSpan w:val="2"/>
            <w:vMerge/>
            <w:shd w:val="clear" w:color="auto" w:fill="E7E6E6" w:themeFill="background2"/>
            <w:vAlign w:val="center"/>
          </w:tcPr>
          <w:p w:rsidR="009C024F" w:rsidRDefault="009C024F" w:rsidP="00A36AE0">
            <w:pPr>
              <w:pStyle w:val="Textocuadroneg"/>
              <w:rPr>
                <w:rFonts w:ascii="Cambria" w:hAnsi="Cambria"/>
                <w:sz w:val="16"/>
                <w:szCs w:val="16"/>
              </w:rPr>
            </w:pPr>
          </w:p>
        </w:tc>
        <w:tc>
          <w:tcPr>
            <w:tcW w:w="2126" w:type="dxa"/>
            <w:shd w:val="clear" w:color="auto" w:fill="E7E6E6" w:themeFill="background2"/>
            <w:vAlign w:val="center"/>
          </w:tcPr>
          <w:p w:rsidR="009C024F" w:rsidRPr="00950A2D" w:rsidRDefault="009C024F" w:rsidP="00A36AE0">
            <w:pPr>
              <w:pStyle w:val="Textocuadroneg"/>
              <w:rPr>
                <w:rFonts w:ascii="Cambria" w:hAnsi="Cambria"/>
                <w:sz w:val="16"/>
                <w:szCs w:val="16"/>
              </w:rPr>
            </w:pPr>
            <w:r>
              <w:rPr>
                <w:rFonts w:ascii="Cambria" w:hAnsi="Cambria"/>
                <w:sz w:val="16"/>
                <w:szCs w:val="16"/>
              </w:rPr>
              <w:t>Colaboradores(as):</w:t>
            </w:r>
          </w:p>
        </w:tc>
        <w:tc>
          <w:tcPr>
            <w:tcW w:w="4410" w:type="dxa"/>
            <w:gridSpan w:val="4"/>
            <w:shd w:val="clear" w:color="auto" w:fill="E7E6E6" w:themeFill="background2"/>
            <w:vAlign w:val="center"/>
          </w:tcPr>
          <w:p w:rsidR="009C024F" w:rsidRPr="009D3D3F" w:rsidRDefault="00E3769D" w:rsidP="00D46B3C">
            <w:pPr>
              <w:pStyle w:val="CABEZA"/>
              <w:ind w:left="0"/>
              <w:rPr>
                <w:rFonts w:ascii="Cambria" w:hAnsi="Cambria"/>
                <w:i/>
                <w:sz w:val="16"/>
                <w:szCs w:val="16"/>
                <w:lang w:val="es-MX"/>
              </w:rPr>
            </w:pPr>
            <w:r w:rsidRPr="009D3D3F">
              <w:rPr>
                <w:rFonts w:ascii="Cambria" w:hAnsi="Cambria"/>
                <w:i/>
                <w:sz w:val="16"/>
                <w:szCs w:val="16"/>
                <w:lang w:val="es-MX"/>
              </w:rPr>
              <w:t>Tani</w:t>
            </w:r>
            <w:r w:rsidR="00657087" w:rsidRPr="009D3D3F">
              <w:rPr>
                <w:rFonts w:ascii="Cambria" w:hAnsi="Cambria"/>
                <w:i/>
                <w:sz w:val="16"/>
                <w:szCs w:val="16"/>
                <w:lang w:val="es-MX"/>
              </w:rPr>
              <w:t>a</w:t>
            </w:r>
            <w:r w:rsidRPr="009D3D3F">
              <w:rPr>
                <w:rFonts w:ascii="Cambria" w:hAnsi="Cambria"/>
                <w:i/>
                <w:sz w:val="16"/>
                <w:szCs w:val="16"/>
                <w:lang w:val="es-MX"/>
              </w:rPr>
              <w:t xml:space="preserve"> Lizzeth</w:t>
            </w:r>
            <w:r w:rsidR="00657087" w:rsidRPr="009D3D3F">
              <w:rPr>
                <w:rFonts w:ascii="Cambria" w:hAnsi="Cambria"/>
                <w:i/>
                <w:sz w:val="16"/>
                <w:szCs w:val="16"/>
                <w:lang w:val="es-MX"/>
              </w:rPr>
              <w:t xml:space="preserve"> </w:t>
            </w:r>
            <w:r w:rsidR="00BC4DF5" w:rsidRPr="009D3D3F">
              <w:rPr>
                <w:rFonts w:ascii="Cambria" w:hAnsi="Cambria"/>
                <w:i/>
                <w:sz w:val="16"/>
                <w:szCs w:val="16"/>
                <w:lang w:val="es-MX"/>
              </w:rPr>
              <w:t>Hernández</w:t>
            </w:r>
            <w:r w:rsidR="00657087" w:rsidRPr="009D3D3F">
              <w:rPr>
                <w:rFonts w:ascii="Cambria" w:hAnsi="Cambria"/>
                <w:i/>
                <w:sz w:val="16"/>
                <w:szCs w:val="16"/>
                <w:lang w:val="es-MX"/>
              </w:rPr>
              <w:t xml:space="preserve"> Ort</w:t>
            </w:r>
            <w:r w:rsidRPr="009D3D3F">
              <w:rPr>
                <w:rFonts w:ascii="Cambria" w:hAnsi="Cambria"/>
                <w:i/>
                <w:sz w:val="16"/>
                <w:szCs w:val="16"/>
                <w:lang w:val="es-MX"/>
              </w:rPr>
              <w:t>iz</w:t>
            </w:r>
          </w:p>
          <w:p w:rsidR="00E3769D" w:rsidRPr="009D3D3F" w:rsidRDefault="00E3769D" w:rsidP="00D46B3C">
            <w:pPr>
              <w:pStyle w:val="CABEZA"/>
              <w:ind w:left="0"/>
              <w:rPr>
                <w:rFonts w:ascii="Cambria" w:hAnsi="Cambria"/>
                <w:i/>
                <w:sz w:val="16"/>
                <w:szCs w:val="16"/>
                <w:lang w:val="es-MX"/>
              </w:rPr>
            </w:pPr>
            <w:r w:rsidRPr="009D3D3F">
              <w:rPr>
                <w:rFonts w:ascii="Cambria" w:hAnsi="Cambria"/>
                <w:i/>
                <w:sz w:val="16"/>
                <w:szCs w:val="16"/>
                <w:lang w:val="es-MX"/>
              </w:rPr>
              <w:t>Melissa Daniela Martínez Riojas</w:t>
            </w:r>
          </w:p>
        </w:tc>
      </w:tr>
      <w:tr w:rsidR="009C024F" w:rsidRPr="00950A2D" w:rsidTr="00A36AE0">
        <w:trPr>
          <w:trHeight w:val="583"/>
          <w:jc w:val="center"/>
        </w:trPr>
        <w:tc>
          <w:tcPr>
            <w:tcW w:w="2405" w:type="dxa"/>
            <w:gridSpan w:val="2"/>
            <w:vMerge w:val="restart"/>
            <w:shd w:val="clear" w:color="auto" w:fill="auto"/>
            <w:vAlign w:val="center"/>
          </w:tcPr>
          <w:p w:rsidR="009C024F" w:rsidRPr="00683FE8" w:rsidRDefault="009C024F" w:rsidP="00A36AE0">
            <w:pPr>
              <w:pStyle w:val="Textocuadroneg"/>
              <w:rPr>
                <w:rFonts w:ascii="Cambria" w:hAnsi="Cambria"/>
                <w:sz w:val="16"/>
                <w:szCs w:val="16"/>
              </w:rPr>
            </w:pPr>
            <w:r w:rsidRPr="00683FE8">
              <w:rPr>
                <w:rFonts w:ascii="Cambria" w:hAnsi="Cambria"/>
                <w:sz w:val="16"/>
                <w:szCs w:val="16"/>
              </w:rPr>
              <w:t>Tipo de contratación:</w:t>
            </w:r>
          </w:p>
        </w:tc>
        <w:tc>
          <w:tcPr>
            <w:tcW w:w="2126" w:type="dxa"/>
            <w:vMerge w:val="restart"/>
            <w:shd w:val="clear" w:color="auto" w:fill="auto"/>
            <w:vAlign w:val="center"/>
          </w:tcPr>
          <w:p w:rsidR="009C024F" w:rsidRPr="00BC4DF5" w:rsidRDefault="00BC4DF5" w:rsidP="00A36AE0">
            <w:pPr>
              <w:pStyle w:val="Textocuadro"/>
              <w:spacing w:before="0"/>
              <w:rPr>
                <w:rFonts w:ascii="Cambria" w:hAnsi="Cambria"/>
                <w:sz w:val="16"/>
                <w:szCs w:val="16"/>
              </w:rPr>
            </w:pPr>
            <w:r w:rsidRPr="00D46B3C">
              <w:rPr>
                <w:rFonts w:ascii="Cambria" w:hAnsi="Cambria"/>
                <w:i/>
                <w:sz w:val="16"/>
                <w:szCs w:val="16"/>
              </w:rPr>
              <w:t>Adjudicación directa</w:t>
            </w:r>
          </w:p>
        </w:tc>
        <w:tc>
          <w:tcPr>
            <w:tcW w:w="2144" w:type="dxa"/>
            <w:gridSpan w:val="2"/>
            <w:shd w:val="clear" w:color="auto" w:fill="auto"/>
            <w:vAlign w:val="center"/>
          </w:tcPr>
          <w:p w:rsidR="009C024F" w:rsidRPr="00BC4DF5" w:rsidRDefault="009C024F" w:rsidP="00A36AE0">
            <w:pPr>
              <w:pStyle w:val="Textocuadro"/>
              <w:spacing w:before="0"/>
              <w:rPr>
                <w:rFonts w:ascii="Cambria" w:hAnsi="Cambria"/>
                <w:b/>
                <w:sz w:val="16"/>
                <w:szCs w:val="16"/>
              </w:rPr>
            </w:pPr>
            <w:r w:rsidRPr="00BC4DF5">
              <w:rPr>
                <w:rFonts w:ascii="Cambria" w:hAnsi="Cambria"/>
                <w:b/>
                <w:sz w:val="16"/>
                <w:szCs w:val="16"/>
              </w:rPr>
              <w:t>Costo de la evaluación:</w:t>
            </w:r>
          </w:p>
        </w:tc>
        <w:tc>
          <w:tcPr>
            <w:tcW w:w="2266" w:type="dxa"/>
            <w:gridSpan w:val="2"/>
            <w:shd w:val="clear" w:color="auto" w:fill="auto"/>
            <w:vAlign w:val="center"/>
          </w:tcPr>
          <w:p w:rsidR="009C024F" w:rsidRPr="00D46B3C" w:rsidRDefault="00657087" w:rsidP="00A36AE0">
            <w:pPr>
              <w:pStyle w:val="Textocuadro"/>
              <w:spacing w:before="0"/>
              <w:rPr>
                <w:rFonts w:ascii="Cambria" w:hAnsi="Cambria"/>
                <w:i/>
                <w:sz w:val="16"/>
                <w:szCs w:val="16"/>
              </w:rPr>
            </w:pPr>
            <w:r w:rsidRPr="00D46B3C">
              <w:rPr>
                <w:rFonts w:ascii="Cambria" w:hAnsi="Cambria"/>
                <w:i/>
                <w:sz w:val="16"/>
                <w:szCs w:val="16"/>
              </w:rPr>
              <w:t>$490,000.00 m/n</w:t>
            </w:r>
          </w:p>
        </w:tc>
      </w:tr>
      <w:tr w:rsidR="009C024F" w:rsidRPr="00950A2D" w:rsidTr="00A36AE0">
        <w:trPr>
          <w:trHeight w:val="583"/>
          <w:jc w:val="center"/>
        </w:trPr>
        <w:tc>
          <w:tcPr>
            <w:tcW w:w="2405" w:type="dxa"/>
            <w:gridSpan w:val="2"/>
            <w:vMerge/>
            <w:shd w:val="clear" w:color="auto" w:fill="auto"/>
            <w:vAlign w:val="center"/>
          </w:tcPr>
          <w:p w:rsidR="009C024F" w:rsidRPr="00683FE8" w:rsidRDefault="009C024F" w:rsidP="00A36AE0">
            <w:pPr>
              <w:pStyle w:val="Textocuadroneg"/>
              <w:rPr>
                <w:rFonts w:ascii="Cambria" w:hAnsi="Cambria"/>
                <w:sz w:val="16"/>
                <w:szCs w:val="16"/>
              </w:rPr>
            </w:pPr>
          </w:p>
        </w:tc>
        <w:tc>
          <w:tcPr>
            <w:tcW w:w="2126" w:type="dxa"/>
            <w:vMerge/>
            <w:shd w:val="clear" w:color="auto" w:fill="auto"/>
            <w:vAlign w:val="center"/>
          </w:tcPr>
          <w:p w:rsidR="009C024F" w:rsidRPr="00BC4DF5" w:rsidRDefault="009C024F" w:rsidP="00A36AE0">
            <w:pPr>
              <w:pStyle w:val="Textocuadro"/>
              <w:spacing w:before="0"/>
              <w:rPr>
                <w:rFonts w:ascii="Cambria" w:hAnsi="Cambria"/>
                <w:sz w:val="16"/>
                <w:szCs w:val="16"/>
              </w:rPr>
            </w:pPr>
          </w:p>
        </w:tc>
        <w:tc>
          <w:tcPr>
            <w:tcW w:w="2144" w:type="dxa"/>
            <w:gridSpan w:val="2"/>
            <w:shd w:val="clear" w:color="auto" w:fill="auto"/>
            <w:vAlign w:val="center"/>
          </w:tcPr>
          <w:p w:rsidR="009C024F" w:rsidRPr="00BC4DF5" w:rsidRDefault="009C024F" w:rsidP="00A36AE0">
            <w:pPr>
              <w:pStyle w:val="Textocuadro"/>
              <w:spacing w:before="0"/>
              <w:rPr>
                <w:rFonts w:ascii="Cambria" w:hAnsi="Cambria"/>
                <w:b/>
                <w:sz w:val="16"/>
                <w:szCs w:val="16"/>
              </w:rPr>
            </w:pPr>
            <w:r w:rsidRPr="00BC4DF5">
              <w:rPr>
                <w:rFonts w:ascii="Cambria" w:hAnsi="Cambria"/>
                <w:b/>
                <w:sz w:val="16"/>
                <w:szCs w:val="16"/>
              </w:rPr>
              <w:t>Fuente de financiamiento:</w:t>
            </w:r>
          </w:p>
        </w:tc>
        <w:tc>
          <w:tcPr>
            <w:tcW w:w="2266" w:type="dxa"/>
            <w:gridSpan w:val="2"/>
            <w:shd w:val="clear" w:color="auto" w:fill="auto"/>
            <w:vAlign w:val="center"/>
          </w:tcPr>
          <w:p w:rsidR="009C024F" w:rsidRPr="00D46B3C" w:rsidRDefault="00CC1BBE" w:rsidP="00A36AE0">
            <w:pPr>
              <w:pStyle w:val="Textocuadro"/>
              <w:spacing w:before="0"/>
              <w:rPr>
                <w:rFonts w:ascii="Cambria" w:hAnsi="Cambria"/>
                <w:i/>
                <w:sz w:val="16"/>
                <w:szCs w:val="16"/>
              </w:rPr>
            </w:pPr>
            <w:r w:rsidRPr="00D46B3C">
              <w:rPr>
                <w:rFonts w:ascii="Cambria" w:hAnsi="Cambria"/>
                <w:i/>
                <w:sz w:val="16"/>
                <w:szCs w:val="16"/>
              </w:rPr>
              <w:t>Fiscales</w:t>
            </w:r>
          </w:p>
        </w:tc>
      </w:tr>
      <w:tr w:rsidR="009C024F" w:rsidRPr="00950A2D" w:rsidTr="00A36AE0">
        <w:trPr>
          <w:trHeight w:val="583"/>
          <w:jc w:val="center"/>
        </w:trPr>
        <w:tc>
          <w:tcPr>
            <w:tcW w:w="2405" w:type="dxa"/>
            <w:gridSpan w:val="2"/>
            <w:shd w:val="clear" w:color="auto" w:fill="D9D9D9" w:themeFill="background1" w:themeFillShade="D9"/>
            <w:vAlign w:val="center"/>
          </w:tcPr>
          <w:p w:rsidR="009C024F" w:rsidRPr="00683FE8" w:rsidRDefault="009C024F" w:rsidP="00A36AE0">
            <w:pPr>
              <w:pStyle w:val="Textocuadroneg"/>
              <w:rPr>
                <w:rFonts w:ascii="Cambria" w:hAnsi="Cambria"/>
                <w:sz w:val="16"/>
                <w:szCs w:val="16"/>
              </w:rPr>
            </w:pPr>
            <w:r>
              <w:rPr>
                <w:rFonts w:ascii="Cambria" w:hAnsi="Cambria"/>
                <w:sz w:val="16"/>
                <w:szCs w:val="16"/>
              </w:rPr>
              <w:t>Instancia de coordinación de la evaluación:</w:t>
            </w:r>
          </w:p>
        </w:tc>
        <w:tc>
          <w:tcPr>
            <w:tcW w:w="6536" w:type="dxa"/>
            <w:gridSpan w:val="5"/>
            <w:shd w:val="clear" w:color="auto" w:fill="D9D9D9" w:themeFill="background1" w:themeFillShade="D9"/>
            <w:vAlign w:val="center"/>
          </w:tcPr>
          <w:p w:rsidR="009C024F" w:rsidRPr="00683FE8" w:rsidRDefault="009C024F" w:rsidP="00A36AE0">
            <w:pPr>
              <w:pStyle w:val="Textocuadro"/>
              <w:spacing w:before="0"/>
              <w:rPr>
                <w:rFonts w:ascii="Cambria" w:hAnsi="Cambria"/>
                <w:sz w:val="16"/>
                <w:szCs w:val="16"/>
              </w:rPr>
            </w:pPr>
            <w:r>
              <w:rPr>
                <w:rFonts w:ascii="Cambria" w:hAnsi="Cambria"/>
                <w:i/>
                <w:sz w:val="16"/>
                <w:szCs w:val="16"/>
                <w:lang w:val="es-MX"/>
              </w:rPr>
              <w:t>Consejo Nacional de Evaluación de la Política de Desarrollo Social</w:t>
            </w:r>
          </w:p>
        </w:tc>
      </w:tr>
    </w:tbl>
    <w:p w:rsidR="009C024F" w:rsidRPr="00950A2D" w:rsidRDefault="009C024F" w:rsidP="009C024F">
      <w:pPr>
        <w:jc w:val="both"/>
        <w:rPr>
          <w:rFonts w:ascii="Cambria" w:hAnsi="Cambria"/>
        </w:rPr>
      </w:pPr>
    </w:p>
    <w:p w:rsidR="009C024F" w:rsidRPr="00950A2D" w:rsidRDefault="009C024F" w:rsidP="009C024F">
      <w:pPr>
        <w:pStyle w:val="Cdetextonegrita"/>
        <w:rPr>
          <w:rFonts w:ascii="Cambria" w:hAnsi="Cambria"/>
          <w:b w:val="0"/>
          <w:szCs w:val="22"/>
        </w:rPr>
      </w:pPr>
      <w:r w:rsidRPr="00950A2D">
        <w:rPr>
          <w:rFonts w:ascii="Cambria" w:hAnsi="Cambria"/>
          <w:szCs w:val="22"/>
        </w:rPr>
        <w:t>Descripción del Programa</w:t>
      </w:r>
      <w:r>
        <w:rPr>
          <w:rFonts w:ascii="Cambria" w:hAnsi="Cambria"/>
          <w:szCs w:val="22"/>
        </w:rPr>
        <w:t xml:space="preserve"> </w:t>
      </w:r>
    </w:p>
    <w:p w:rsidR="00846DFE" w:rsidRPr="00846DFE" w:rsidRDefault="00846DFE" w:rsidP="00846DFE">
      <w:pPr>
        <w:jc w:val="both"/>
        <w:rPr>
          <w:rFonts w:ascii="Cambria" w:eastAsia="Times New Roman" w:hAnsi="Cambria" w:cs="Arial"/>
          <w:i/>
          <w:lang w:val="es-ES" w:eastAsia="es-ES"/>
        </w:rPr>
      </w:pPr>
      <w:r w:rsidRPr="00846DFE">
        <w:rPr>
          <w:rFonts w:ascii="Cambria" w:eastAsia="Times New Roman" w:hAnsi="Cambria" w:cs="Arial"/>
          <w:i/>
          <w:lang w:val="es-ES" w:eastAsia="es-ES"/>
        </w:rPr>
        <w:t>Inicia en 2020</w:t>
      </w:r>
      <w:r w:rsidR="009D3D3F">
        <w:rPr>
          <w:rFonts w:ascii="Cambria" w:eastAsia="Times New Roman" w:hAnsi="Cambria" w:cs="Arial"/>
          <w:i/>
          <w:lang w:val="es-ES" w:eastAsia="es-ES"/>
        </w:rPr>
        <w:t>,</w:t>
      </w:r>
      <w:r w:rsidRPr="00846DFE">
        <w:rPr>
          <w:rFonts w:ascii="Cambria" w:eastAsia="Times New Roman" w:hAnsi="Cambria" w:cs="Arial"/>
          <w:i/>
          <w:lang w:val="es-ES" w:eastAsia="es-ES"/>
        </w:rPr>
        <w:t xml:space="preserve"> su objetivo es “Fomentar la salud y bienestar comunitario en localidades de alta y muy alta marginac</w:t>
      </w:r>
      <w:r w:rsidR="009D3D3F">
        <w:rPr>
          <w:rFonts w:ascii="Cambria" w:eastAsia="Times New Roman" w:hAnsi="Cambria" w:cs="Arial"/>
          <w:i/>
          <w:lang w:val="es-ES" w:eastAsia="es-ES"/>
        </w:rPr>
        <w:t>ión con Grupos de Desarrollo (GD</w:t>
      </w:r>
      <w:r w:rsidRPr="00846DFE">
        <w:rPr>
          <w:rFonts w:ascii="Cambria" w:eastAsia="Times New Roman" w:hAnsi="Cambria" w:cs="Arial"/>
          <w:i/>
          <w:lang w:val="es-ES" w:eastAsia="es-ES"/>
        </w:rPr>
        <w:t>) constituidos mediante el fortalecimiento de capacidades individuales y colectivas complementadas con la implementación de proyectos comunitarios”. La población objetivo “Localidades de alta y muy alta marginación de acuerdo con la publicación oficial Índice de Marginación por Localidad 2010 del CONAPO con GD constituidos".</w:t>
      </w:r>
    </w:p>
    <w:p w:rsidR="00846DFE" w:rsidRPr="00846DFE" w:rsidRDefault="00846DFE" w:rsidP="00846DFE">
      <w:pPr>
        <w:jc w:val="both"/>
        <w:rPr>
          <w:rFonts w:ascii="Cambria" w:eastAsia="Times New Roman" w:hAnsi="Cambria" w:cs="Arial"/>
          <w:i/>
          <w:lang w:val="es-ES" w:eastAsia="es-ES"/>
        </w:rPr>
      </w:pPr>
      <w:r w:rsidRPr="00846DFE">
        <w:rPr>
          <w:rFonts w:ascii="Cambria" w:eastAsia="Times New Roman" w:hAnsi="Cambria" w:cs="Arial"/>
          <w:i/>
          <w:lang w:val="es-ES" w:eastAsia="es-ES"/>
        </w:rPr>
        <w:t>Objetivos específicos: “Desarrollar conocimientos, habilidades y competencias en localidades de alta y muy alta marginación con GD constituidos en materia de desarrollo social, humano y comunitario para fomentar la salud y bienestar comunitario a través de capacitaciones e implementar proyectos comunitarios en localidades de alta y muy alta marginación con GD constituidos para fomentar la salud y el bienestar comunitario”. Los bienes son subsidios federales para otorgar capacitaciones y proyectos comunitarios a los GD.</w:t>
      </w:r>
    </w:p>
    <w:p w:rsidR="009C024F" w:rsidRPr="00950A2D" w:rsidRDefault="009C024F" w:rsidP="009C024F">
      <w:pPr>
        <w:pStyle w:val="Cdetextonegrita"/>
        <w:rPr>
          <w:rFonts w:ascii="Cambria" w:hAnsi="Cambria"/>
          <w:b w:val="0"/>
          <w:szCs w:val="22"/>
        </w:rPr>
      </w:pPr>
      <w:r>
        <w:rPr>
          <w:rFonts w:ascii="Cambria" w:hAnsi="Cambria"/>
          <w:szCs w:val="22"/>
        </w:rPr>
        <w:t>Principales h</w:t>
      </w:r>
      <w:r w:rsidRPr="00950A2D">
        <w:rPr>
          <w:rFonts w:ascii="Cambria" w:hAnsi="Cambria"/>
          <w:szCs w:val="22"/>
        </w:rPr>
        <w:t>allazgos</w:t>
      </w:r>
      <w:r>
        <w:rPr>
          <w:rFonts w:ascii="Cambria" w:hAnsi="Cambria"/>
          <w:szCs w:val="22"/>
        </w:rPr>
        <w:t xml:space="preserve"> de la evaluación </w:t>
      </w:r>
    </w:p>
    <w:p w:rsidR="00D46B3C" w:rsidRPr="00D46B3C" w:rsidRDefault="00E057CB" w:rsidP="00D46B3C">
      <w:pPr>
        <w:pStyle w:val="Cdetexto"/>
        <w:rPr>
          <w:rFonts w:ascii="Cambria" w:hAnsi="Cambria"/>
          <w:i/>
          <w:szCs w:val="22"/>
        </w:rPr>
      </w:pPr>
      <w:r>
        <w:rPr>
          <w:rFonts w:ascii="Cambria" w:hAnsi="Cambria"/>
          <w:i/>
          <w:szCs w:val="22"/>
        </w:rPr>
        <w:lastRenderedPageBreak/>
        <w:t>E</w:t>
      </w:r>
      <w:r w:rsidR="00D46B3C" w:rsidRPr="00D46B3C">
        <w:rPr>
          <w:rFonts w:ascii="Cambria" w:hAnsi="Cambria"/>
          <w:i/>
          <w:szCs w:val="22"/>
        </w:rPr>
        <w:t xml:space="preserve">l problema del </w:t>
      </w:r>
      <w:proofErr w:type="spellStart"/>
      <w:r>
        <w:rPr>
          <w:rFonts w:ascii="Cambria" w:hAnsi="Cambria"/>
          <w:i/>
          <w:szCs w:val="22"/>
        </w:rPr>
        <w:t>Pp</w:t>
      </w:r>
      <w:proofErr w:type="spellEnd"/>
      <w:r w:rsidR="00D46B3C" w:rsidRPr="00D46B3C">
        <w:rPr>
          <w:rFonts w:ascii="Cambria" w:hAnsi="Cambria"/>
          <w:i/>
          <w:szCs w:val="22"/>
        </w:rPr>
        <w:t xml:space="preserve"> se enmarca como “la existencia de determinantes sociales afectados, que limitan la salud comunitaria”. Los determinantes sociales afectados son definidos como “las circunstancias de carácter social que limitan el desarrollo integral en el ámbito de la salud”. Aunque los determinantes sociales afectados parecen referir a determinantes en materia de salud, el programa cuenta con componentes que se relacionan indirectamente a salud.</w:t>
      </w:r>
    </w:p>
    <w:p w:rsidR="00CC1BBE" w:rsidRPr="00D46B3C" w:rsidRDefault="00D46B3C" w:rsidP="00D46B3C">
      <w:pPr>
        <w:pStyle w:val="Cdetexto"/>
        <w:rPr>
          <w:rFonts w:ascii="Cambria" w:hAnsi="Cambria"/>
          <w:i/>
          <w:szCs w:val="22"/>
        </w:rPr>
      </w:pPr>
      <w:r w:rsidRPr="00D46B3C">
        <w:rPr>
          <w:rFonts w:ascii="Cambria" w:hAnsi="Cambria"/>
          <w:i/>
          <w:szCs w:val="22"/>
        </w:rPr>
        <w:t>Al analizar los procedimientos para la selección de beneficiarios, se identificó que presenta diferentes unidades de intervención para su población objetivo y su población atendida. La población objetivo refiere a localidades y la población atendida refiere a Grupos de Desarrollo. Lo anterior lleva a que existan vacíos en los procedimientos del programa para la selección de beneficiarios.</w:t>
      </w:r>
    </w:p>
    <w:p w:rsidR="009C024F" w:rsidRPr="00950A2D" w:rsidRDefault="009C024F" w:rsidP="009C024F">
      <w:pPr>
        <w:pStyle w:val="Cdetextonegrita"/>
        <w:rPr>
          <w:rFonts w:ascii="Cambria" w:hAnsi="Cambria"/>
          <w:b w:val="0"/>
          <w:szCs w:val="22"/>
        </w:rPr>
      </w:pPr>
      <w:r>
        <w:rPr>
          <w:rFonts w:ascii="Cambria" w:hAnsi="Cambria"/>
          <w:szCs w:val="22"/>
        </w:rPr>
        <w:t>Principales r</w:t>
      </w:r>
      <w:r w:rsidRPr="00950A2D">
        <w:rPr>
          <w:rFonts w:ascii="Cambria" w:hAnsi="Cambria"/>
          <w:szCs w:val="22"/>
        </w:rPr>
        <w:t>ecomendaciones</w:t>
      </w:r>
      <w:r w:rsidR="005C56A0">
        <w:rPr>
          <w:rFonts w:ascii="Cambria" w:hAnsi="Cambria"/>
          <w:szCs w:val="22"/>
        </w:rPr>
        <w:t xml:space="preserve"> de la evaluación</w:t>
      </w:r>
    </w:p>
    <w:p w:rsidR="008016ED" w:rsidRPr="008016ED" w:rsidRDefault="005C56A0" w:rsidP="008016ED">
      <w:pPr>
        <w:jc w:val="both"/>
        <w:rPr>
          <w:rFonts w:ascii="Cambria" w:eastAsia="Times New Roman" w:hAnsi="Cambria" w:cs="Arial"/>
          <w:i/>
          <w:lang w:val="es-ES" w:eastAsia="es-ES"/>
        </w:rPr>
      </w:pPr>
      <w:r>
        <w:rPr>
          <w:rFonts w:ascii="Cambria" w:eastAsia="Times New Roman" w:hAnsi="Cambria" w:cs="Arial"/>
          <w:i/>
          <w:lang w:val="es-ES" w:eastAsia="es-ES"/>
        </w:rPr>
        <w:t>R</w:t>
      </w:r>
      <w:r w:rsidR="008016ED" w:rsidRPr="008016ED">
        <w:rPr>
          <w:rFonts w:ascii="Cambria" w:eastAsia="Times New Roman" w:hAnsi="Cambria" w:cs="Arial"/>
          <w:i/>
          <w:lang w:val="es-ES" w:eastAsia="es-ES"/>
        </w:rPr>
        <w:t>evis</w:t>
      </w:r>
      <w:r>
        <w:rPr>
          <w:rFonts w:ascii="Cambria" w:eastAsia="Times New Roman" w:hAnsi="Cambria" w:cs="Arial"/>
          <w:i/>
          <w:lang w:val="es-ES" w:eastAsia="es-ES"/>
        </w:rPr>
        <w:t>ar</w:t>
      </w:r>
      <w:r w:rsidR="008016ED" w:rsidRPr="008016ED">
        <w:rPr>
          <w:rFonts w:ascii="Cambria" w:eastAsia="Times New Roman" w:hAnsi="Cambria" w:cs="Arial"/>
          <w:i/>
          <w:lang w:val="es-ES" w:eastAsia="es-ES"/>
        </w:rPr>
        <w:t xml:space="preserve"> el concepto de determinantes sociales para fortalecer el diagnóstico y con ello plasmar con claridad la teoría de cambio del programa y la lógica vertical de la MIR. </w:t>
      </w:r>
    </w:p>
    <w:p w:rsidR="005C56A0" w:rsidRDefault="005C56A0" w:rsidP="008016ED">
      <w:pPr>
        <w:jc w:val="both"/>
        <w:rPr>
          <w:rFonts w:ascii="Cambria" w:eastAsia="Times New Roman" w:hAnsi="Cambria" w:cs="Arial"/>
          <w:i/>
          <w:lang w:val="es-ES" w:eastAsia="es-ES"/>
        </w:rPr>
      </w:pPr>
      <w:r>
        <w:rPr>
          <w:rFonts w:ascii="Cambria" w:eastAsia="Times New Roman" w:hAnsi="Cambria" w:cs="Arial"/>
          <w:i/>
          <w:lang w:val="es-ES" w:eastAsia="es-ES"/>
        </w:rPr>
        <w:t>E</w:t>
      </w:r>
      <w:r w:rsidR="008016ED" w:rsidRPr="008016ED">
        <w:rPr>
          <w:rFonts w:ascii="Cambria" w:eastAsia="Times New Roman" w:hAnsi="Cambria" w:cs="Arial"/>
          <w:i/>
          <w:lang w:val="es-ES" w:eastAsia="es-ES"/>
        </w:rPr>
        <w:t xml:space="preserve">nmarcar el problema a atender en términos de vulnerabilidades y riesgos sociales, de esta manera, las lógicas causa-efecto tendrán su justificación en las causas y efectos de las vulnerabilidades y riesgos sociales. </w:t>
      </w:r>
    </w:p>
    <w:p w:rsidR="008016ED" w:rsidRPr="008016ED" w:rsidRDefault="008016ED" w:rsidP="008016ED">
      <w:pPr>
        <w:jc w:val="both"/>
        <w:rPr>
          <w:rFonts w:ascii="Cambria" w:eastAsia="Times New Roman" w:hAnsi="Cambria" w:cs="Arial"/>
          <w:i/>
          <w:lang w:val="es-ES" w:eastAsia="es-ES"/>
        </w:rPr>
      </w:pPr>
      <w:r w:rsidRPr="008016ED">
        <w:rPr>
          <w:rFonts w:ascii="Cambria" w:eastAsia="Times New Roman" w:hAnsi="Cambria" w:cs="Arial"/>
          <w:i/>
          <w:lang w:val="es-ES" w:eastAsia="es-ES"/>
        </w:rPr>
        <w:t>Ampliar el marco teórico a acumulación de vulnerabilidades sociales y riesgos en comunidades permitirá mayor flexibilidad al S251 para incorporar más acciones y componentes, así como identificar sinergias con otras estrategias del SNDIF.</w:t>
      </w:r>
    </w:p>
    <w:p w:rsidR="008016ED" w:rsidRPr="008016ED" w:rsidRDefault="005C56A0" w:rsidP="008016ED">
      <w:pPr>
        <w:jc w:val="both"/>
        <w:rPr>
          <w:rFonts w:ascii="Cambria" w:eastAsia="Times New Roman" w:hAnsi="Cambria" w:cs="Arial"/>
          <w:i/>
          <w:lang w:val="es-ES" w:eastAsia="es-ES"/>
        </w:rPr>
      </w:pPr>
      <w:r>
        <w:rPr>
          <w:rFonts w:ascii="Cambria" w:eastAsia="Times New Roman" w:hAnsi="Cambria" w:cs="Arial"/>
          <w:i/>
          <w:lang w:val="es-ES" w:eastAsia="es-ES"/>
        </w:rPr>
        <w:t>D</w:t>
      </w:r>
      <w:r w:rsidR="008016ED" w:rsidRPr="008016ED">
        <w:rPr>
          <w:rFonts w:ascii="Cambria" w:eastAsia="Times New Roman" w:hAnsi="Cambria" w:cs="Arial"/>
          <w:i/>
          <w:lang w:val="es-ES" w:eastAsia="es-ES"/>
        </w:rPr>
        <w:t>efinir y homologar metas de cobertura de mediano y largo plazo.</w:t>
      </w:r>
    </w:p>
    <w:p w:rsidR="008016ED" w:rsidRDefault="005C56A0" w:rsidP="008016ED">
      <w:pPr>
        <w:jc w:val="both"/>
        <w:rPr>
          <w:rFonts w:ascii="Cambria" w:eastAsia="Times New Roman" w:hAnsi="Cambria" w:cs="Arial"/>
          <w:i/>
          <w:lang w:val="es-ES" w:eastAsia="es-ES"/>
        </w:rPr>
      </w:pPr>
      <w:r>
        <w:rPr>
          <w:rFonts w:ascii="Cambria" w:eastAsia="Times New Roman" w:hAnsi="Cambria" w:cs="Arial"/>
          <w:i/>
          <w:lang w:val="es-ES" w:eastAsia="es-ES"/>
        </w:rPr>
        <w:t>A</w:t>
      </w:r>
      <w:r w:rsidR="008016ED" w:rsidRPr="008016ED">
        <w:rPr>
          <w:rFonts w:ascii="Cambria" w:eastAsia="Times New Roman" w:hAnsi="Cambria" w:cs="Arial"/>
          <w:i/>
          <w:lang w:val="es-ES" w:eastAsia="es-ES"/>
        </w:rPr>
        <w:t>ctualizar los medios de verificación de todos los indicadores de la MIR para especificar los anexos o apartados de los que se recupera la información para cuantificar los numeradores y denominadores de los indicadores de la MIR.</w:t>
      </w:r>
    </w:p>
    <w:p w:rsidR="009C024F" w:rsidRDefault="009C024F" w:rsidP="009C024F">
      <w:pPr>
        <w:pStyle w:val="Cdetextonegrita"/>
        <w:rPr>
          <w:rFonts w:ascii="Cambria" w:hAnsi="Cambria"/>
          <w:szCs w:val="22"/>
        </w:rPr>
      </w:pPr>
      <w:r w:rsidRPr="00950A2D">
        <w:rPr>
          <w:rFonts w:ascii="Cambria" w:hAnsi="Cambria"/>
          <w:szCs w:val="22"/>
        </w:rPr>
        <w:t>Recomendaciones</w:t>
      </w:r>
      <w:r>
        <w:rPr>
          <w:rFonts w:ascii="Cambria" w:hAnsi="Cambria"/>
          <w:szCs w:val="22"/>
        </w:rPr>
        <w:t xml:space="preserve"> para el proceso de programación y presupuestación </w:t>
      </w:r>
    </w:p>
    <w:p w:rsidR="004B07E5" w:rsidRPr="00FB6B98" w:rsidRDefault="005C56A0" w:rsidP="009C024F">
      <w:pPr>
        <w:pStyle w:val="Cdetexto"/>
        <w:rPr>
          <w:rFonts w:ascii="Cambria" w:hAnsi="Cambria"/>
          <w:i/>
          <w:szCs w:val="22"/>
        </w:rPr>
      </w:pPr>
      <w:r>
        <w:rPr>
          <w:rFonts w:ascii="Cambria" w:hAnsi="Cambria"/>
          <w:i/>
          <w:szCs w:val="22"/>
        </w:rPr>
        <w:t>No se incluyeron recomendaciones</w:t>
      </w:r>
      <w:r w:rsidR="004B07E5" w:rsidRPr="005C56A0">
        <w:rPr>
          <w:rFonts w:ascii="Cambria" w:hAnsi="Cambria"/>
          <w:i/>
          <w:szCs w:val="22"/>
        </w:rPr>
        <w:t xml:space="preserve"> de programación y presupuestación</w:t>
      </w:r>
      <w:r>
        <w:rPr>
          <w:rFonts w:ascii="Cambria" w:hAnsi="Cambria"/>
          <w:i/>
          <w:szCs w:val="22"/>
        </w:rPr>
        <w:t>,</w:t>
      </w:r>
      <w:r w:rsidR="004B07E5" w:rsidRPr="005C56A0">
        <w:rPr>
          <w:rFonts w:ascii="Cambria" w:hAnsi="Cambria"/>
          <w:i/>
          <w:szCs w:val="22"/>
        </w:rPr>
        <w:t xml:space="preserve"> por parte de la instancia evaluadora.</w:t>
      </w:r>
    </w:p>
    <w:p w:rsidR="009C024F" w:rsidRPr="005C56A0" w:rsidRDefault="009C024F" w:rsidP="009C024F">
      <w:pPr>
        <w:pStyle w:val="Cdetexto"/>
        <w:rPr>
          <w:rFonts w:ascii="Cambria" w:hAnsi="Cambria"/>
          <w:b/>
          <w:szCs w:val="22"/>
        </w:rPr>
      </w:pPr>
    </w:p>
    <w:p w:rsidR="009C024F" w:rsidRPr="00A513FD" w:rsidRDefault="009C024F" w:rsidP="009C024F">
      <w:pPr>
        <w:pStyle w:val="Cdetexto"/>
        <w:shd w:val="clear" w:color="auto" w:fill="D9D9D9" w:themeFill="background1" w:themeFillShade="D9"/>
        <w:rPr>
          <w:rFonts w:ascii="Cambria" w:hAnsi="Cambria"/>
          <w:b/>
          <w:i/>
          <w:sz w:val="20"/>
          <w:szCs w:val="22"/>
        </w:rPr>
      </w:pPr>
      <w:r w:rsidRPr="00A513FD">
        <w:rPr>
          <w:rFonts w:ascii="Cambria" w:hAnsi="Cambria"/>
          <w:b/>
          <w:i/>
          <w:szCs w:val="22"/>
        </w:rPr>
        <w:t>Notas:</w:t>
      </w:r>
    </w:p>
    <w:p w:rsidR="009C024F" w:rsidRDefault="009C024F" w:rsidP="009C024F">
      <w:pPr>
        <w:pStyle w:val="Cdetexto"/>
        <w:numPr>
          <w:ilvl w:val="0"/>
          <w:numId w:val="1"/>
        </w:numPr>
        <w:shd w:val="clear" w:color="auto" w:fill="D9D9D9" w:themeFill="background1" w:themeFillShade="D9"/>
        <w:ind w:left="426" w:hanging="425"/>
        <w:rPr>
          <w:rFonts w:ascii="Cambria" w:hAnsi="Cambria"/>
          <w:i/>
          <w:sz w:val="20"/>
          <w:szCs w:val="22"/>
        </w:rPr>
      </w:pPr>
      <w:r>
        <w:rPr>
          <w:rFonts w:ascii="Cambria" w:hAnsi="Cambria"/>
          <w:i/>
          <w:sz w:val="20"/>
          <w:szCs w:val="22"/>
        </w:rPr>
        <w:t xml:space="preserve">El </w:t>
      </w:r>
      <w:r w:rsidRPr="00A71FB2">
        <w:rPr>
          <w:rFonts w:ascii="Cambria" w:hAnsi="Cambria"/>
          <w:i/>
          <w:sz w:val="20"/>
          <w:szCs w:val="22"/>
        </w:rPr>
        <w:t xml:space="preserve">FARE </w:t>
      </w:r>
      <w:r w:rsidRPr="00A71FB2">
        <w:rPr>
          <w:rFonts w:ascii="Cambria" w:hAnsi="Cambria"/>
          <w:i/>
          <w:sz w:val="20"/>
        </w:rPr>
        <w:t xml:space="preserve">deberá ser enviado a la UED </w:t>
      </w:r>
      <w:r w:rsidRPr="00A71FB2">
        <w:rPr>
          <w:rFonts w:ascii="Cambria" w:hAnsi="Cambria"/>
          <w:i/>
          <w:sz w:val="20"/>
          <w:szCs w:val="22"/>
        </w:rPr>
        <w:t>y al Consejo de conformidad con lo establecido en los</w:t>
      </w:r>
      <w:r>
        <w:rPr>
          <w:rFonts w:ascii="Cambria" w:hAnsi="Cambria"/>
          <w:i/>
          <w:sz w:val="20"/>
          <w:szCs w:val="22"/>
        </w:rPr>
        <w:t xml:space="preserve"> numerales 33 y 34 de este PAE, </w:t>
      </w:r>
      <w:r w:rsidRPr="00A513FD">
        <w:rPr>
          <w:rFonts w:ascii="Cambria" w:hAnsi="Cambria"/>
          <w:i/>
          <w:sz w:val="20"/>
          <w:szCs w:val="22"/>
        </w:rPr>
        <w:t>junto con el</w:t>
      </w:r>
      <w:r>
        <w:rPr>
          <w:rFonts w:ascii="Cambria" w:hAnsi="Cambria"/>
          <w:i/>
          <w:sz w:val="20"/>
          <w:szCs w:val="22"/>
        </w:rPr>
        <w:t xml:space="preserve"> informe final de la evaluación.</w:t>
      </w:r>
    </w:p>
    <w:p w:rsidR="009C024F" w:rsidRPr="00A513FD" w:rsidRDefault="009C024F" w:rsidP="009C024F">
      <w:pPr>
        <w:pStyle w:val="Cdetexto"/>
        <w:numPr>
          <w:ilvl w:val="0"/>
          <w:numId w:val="1"/>
        </w:numPr>
        <w:shd w:val="clear" w:color="auto" w:fill="D9D9D9" w:themeFill="background1" w:themeFillShade="D9"/>
        <w:ind w:left="426" w:hanging="425"/>
        <w:rPr>
          <w:rFonts w:ascii="Cambria" w:hAnsi="Cambria"/>
          <w:i/>
          <w:sz w:val="20"/>
          <w:szCs w:val="22"/>
        </w:rPr>
      </w:pPr>
      <w:r>
        <w:rPr>
          <w:rFonts w:ascii="Cambria" w:hAnsi="Cambria"/>
          <w:i/>
          <w:sz w:val="20"/>
          <w:szCs w:val="22"/>
        </w:rPr>
        <w:t xml:space="preserve">El FARE contiene la información señalada en el numeral Vigésimo Octavo de los Lineamientos Generales para la Evaluación de los Programas Federales de la APF, con excepción de los incisos V, VI y VII. </w:t>
      </w:r>
    </w:p>
    <w:p w:rsidR="009C024F" w:rsidRDefault="009C024F" w:rsidP="009C024F">
      <w:pPr>
        <w:pStyle w:val="Cdetexto"/>
        <w:numPr>
          <w:ilvl w:val="0"/>
          <w:numId w:val="1"/>
        </w:numPr>
        <w:shd w:val="clear" w:color="auto" w:fill="D9D9D9" w:themeFill="background1" w:themeFillShade="D9"/>
        <w:ind w:left="426" w:hanging="425"/>
        <w:rPr>
          <w:rFonts w:ascii="Cambria" w:hAnsi="Cambria"/>
          <w:i/>
          <w:sz w:val="20"/>
          <w:szCs w:val="22"/>
        </w:rPr>
      </w:pPr>
      <w:r w:rsidRPr="00A513FD">
        <w:rPr>
          <w:rFonts w:ascii="Cambria" w:hAnsi="Cambria"/>
          <w:i/>
          <w:sz w:val="20"/>
          <w:szCs w:val="22"/>
        </w:rPr>
        <w:t xml:space="preserve"> </w:t>
      </w:r>
      <w:r>
        <w:rPr>
          <w:rFonts w:ascii="Cambria" w:hAnsi="Cambria"/>
          <w:i/>
          <w:sz w:val="20"/>
          <w:szCs w:val="22"/>
        </w:rPr>
        <w:t>El FARE</w:t>
      </w:r>
      <w:r w:rsidRPr="00A513FD">
        <w:rPr>
          <w:rFonts w:ascii="Cambria" w:hAnsi="Cambria"/>
          <w:i/>
          <w:sz w:val="20"/>
          <w:szCs w:val="22"/>
        </w:rPr>
        <w:t xml:space="preserve"> constituye el p</w:t>
      </w:r>
      <w:r>
        <w:rPr>
          <w:rFonts w:ascii="Cambria" w:hAnsi="Cambria"/>
          <w:i/>
          <w:sz w:val="20"/>
          <w:szCs w:val="22"/>
        </w:rPr>
        <w:t>rincipal insumo para integrar el</w:t>
      </w:r>
      <w:r w:rsidRPr="00A513FD">
        <w:rPr>
          <w:rFonts w:ascii="Cambria" w:hAnsi="Cambria"/>
          <w:i/>
          <w:sz w:val="20"/>
          <w:szCs w:val="22"/>
        </w:rPr>
        <w:t xml:space="preserve"> informe trimestral al que</w:t>
      </w:r>
      <w:r>
        <w:rPr>
          <w:rFonts w:ascii="Cambria" w:hAnsi="Cambria"/>
          <w:i/>
          <w:sz w:val="20"/>
          <w:szCs w:val="22"/>
        </w:rPr>
        <w:t xml:space="preserve"> hace referencia el artículo 107, fracción I, </w:t>
      </w:r>
      <w:r w:rsidRPr="00A513FD">
        <w:rPr>
          <w:rFonts w:ascii="Cambria" w:hAnsi="Cambria"/>
          <w:i/>
          <w:sz w:val="20"/>
          <w:szCs w:val="22"/>
        </w:rPr>
        <w:t>de la Ley Federal de Presupues</w:t>
      </w:r>
      <w:r>
        <w:rPr>
          <w:rFonts w:ascii="Cambria" w:hAnsi="Cambria"/>
          <w:i/>
          <w:sz w:val="20"/>
          <w:szCs w:val="22"/>
        </w:rPr>
        <w:t xml:space="preserve">to y Responsabilidad Hacendaria (LFPRH).  </w:t>
      </w:r>
    </w:p>
    <w:p w:rsidR="009C024F" w:rsidRPr="00A513FD" w:rsidRDefault="009C024F" w:rsidP="009C024F">
      <w:pPr>
        <w:pStyle w:val="Cdetexto"/>
        <w:numPr>
          <w:ilvl w:val="0"/>
          <w:numId w:val="1"/>
        </w:numPr>
        <w:shd w:val="clear" w:color="auto" w:fill="D9D9D9" w:themeFill="background1" w:themeFillShade="D9"/>
        <w:ind w:left="426" w:hanging="425"/>
        <w:rPr>
          <w:rFonts w:ascii="Cambria" w:hAnsi="Cambria"/>
          <w:i/>
          <w:sz w:val="20"/>
          <w:szCs w:val="22"/>
        </w:rPr>
      </w:pPr>
      <w:r>
        <w:rPr>
          <w:rFonts w:ascii="Cambria" w:hAnsi="Cambria"/>
          <w:i/>
          <w:sz w:val="20"/>
          <w:szCs w:val="22"/>
        </w:rPr>
        <w:t>El FARE constituye uno de los principales insumos para la integración del repositorio de evaluaciones que señala el artículo 303 Bis del Reglamento de la LFPRH.</w:t>
      </w:r>
    </w:p>
    <w:p w:rsidR="009C024F" w:rsidRPr="00A513FD" w:rsidRDefault="009C024F" w:rsidP="009C024F">
      <w:pPr>
        <w:pStyle w:val="Cdetexto"/>
        <w:numPr>
          <w:ilvl w:val="0"/>
          <w:numId w:val="1"/>
        </w:numPr>
        <w:shd w:val="clear" w:color="auto" w:fill="D9D9D9" w:themeFill="background1" w:themeFillShade="D9"/>
        <w:ind w:left="426" w:hanging="425"/>
        <w:rPr>
          <w:rFonts w:ascii="Cambria" w:hAnsi="Cambria"/>
          <w:i/>
          <w:sz w:val="20"/>
          <w:szCs w:val="22"/>
        </w:rPr>
      </w:pPr>
      <w:r w:rsidRPr="00A513FD">
        <w:rPr>
          <w:rFonts w:ascii="Cambria" w:hAnsi="Cambria"/>
          <w:i/>
          <w:sz w:val="20"/>
          <w:szCs w:val="22"/>
        </w:rPr>
        <w:t xml:space="preserve">En caso de que la evaluación se encuentre aún en desarrollo durante el primer semestre del ejercicio fiscal en curso, el AE deberá enviar la versión preliminar de este Formato a la UED, vía electrónica, a </w:t>
      </w:r>
      <w:r w:rsidRPr="00A513FD">
        <w:rPr>
          <w:rFonts w:ascii="Cambria" w:hAnsi="Cambria"/>
          <w:i/>
          <w:sz w:val="20"/>
          <w:szCs w:val="22"/>
        </w:rPr>
        <w:lastRenderedPageBreak/>
        <w:t xml:space="preserve">más tardar el </w:t>
      </w:r>
      <w:r w:rsidRPr="00EB7CA7">
        <w:rPr>
          <w:rFonts w:ascii="Cambria" w:hAnsi="Cambria"/>
          <w:i/>
          <w:sz w:val="20"/>
          <w:szCs w:val="22"/>
        </w:rPr>
        <w:t>último día hábil de junio</w:t>
      </w:r>
      <w:r w:rsidRPr="00A513FD">
        <w:rPr>
          <w:rFonts w:ascii="Cambria" w:hAnsi="Cambria"/>
          <w:i/>
          <w:sz w:val="20"/>
          <w:szCs w:val="22"/>
        </w:rPr>
        <w:t xml:space="preserve">, con la finalidad de considerar los hallazgos y recomendaciones en el proceso de programación y presupuestación. </w:t>
      </w:r>
    </w:p>
    <w:p w:rsidR="009C024F" w:rsidRPr="00944D17" w:rsidRDefault="009C024F" w:rsidP="009C024F">
      <w:pPr>
        <w:spacing w:before="120" w:after="120" w:line="259" w:lineRule="auto"/>
        <w:rPr>
          <w:rFonts w:ascii="Montserrat" w:hAnsi="Montserrat"/>
          <w:b/>
          <w:i/>
          <w:sz w:val="18"/>
          <w:szCs w:val="18"/>
          <w:lang w:val="es-ES"/>
        </w:rPr>
      </w:pPr>
    </w:p>
    <w:p w:rsidR="00EE2685" w:rsidRPr="009C024F" w:rsidRDefault="00EE2685">
      <w:pPr>
        <w:rPr>
          <w:lang w:val="es-ES"/>
        </w:rPr>
      </w:pPr>
    </w:p>
    <w:sectPr w:rsidR="00EE2685" w:rsidRPr="009C024F">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64AF" w:rsidRDefault="009264AF" w:rsidP="009C024F">
      <w:pPr>
        <w:spacing w:after="0" w:line="240" w:lineRule="auto"/>
      </w:pPr>
      <w:r>
        <w:separator/>
      </w:r>
    </w:p>
  </w:endnote>
  <w:endnote w:type="continuationSeparator" w:id="0">
    <w:p w:rsidR="009264AF" w:rsidRDefault="009264AF" w:rsidP="009C0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oberana Sans">
    <w:altName w:val="Calibri"/>
    <w:panose1 w:val="00000000000000000000"/>
    <w:charset w:val="00"/>
    <w:family w:val="modern"/>
    <w:notTrueType/>
    <w:pitch w:val="variable"/>
    <w:sig w:usb0="00000003" w:usb1="4000204B" w:usb2="00000000" w:usb3="00000000" w:csb0="00000001" w:csb1="00000000"/>
  </w:font>
  <w:font w:name="Montserrat">
    <w:altName w:val="Calibri"/>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64AF" w:rsidRDefault="009264AF" w:rsidP="009C024F">
      <w:pPr>
        <w:spacing w:after="0" w:line="240" w:lineRule="auto"/>
      </w:pPr>
      <w:r>
        <w:separator/>
      </w:r>
    </w:p>
  </w:footnote>
  <w:footnote w:type="continuationSeparator" w:id="0">
    <w:p w:rsidR="009264AF" w:rsidRDefault="009264AF" w:rsidP="009C024F">
      <w:pPr>
        <w:spacing w:after="0" w:line="240" w:lineRule="auto"/>
      </w:pPr>
      <w:r>
        <w:continuationSeparator/>
      </w:r>
    </w:p>
  </w:footnote>
  <w:footnote w:id="1">
    <w:p w:rsidR="009C024F" w:rsidRPr="009C024F" w:rsidRDefault="009C024F" w:rsidP="009C024F">
      <w:pPr>
        <w:rPr>
          <w:rFonts w:ascii="Arial" w:hAnsi="Arial" w:cs="Arial"/>
          <w:color w:val="404040"/>
          <w:sz w:val="16"/>
          <w:szCs w:val="16"/>
        </w:rPr>
      </w:pPr>
      <w:r w:rsidRPr="009C024F">
        <w:rPr>
          <w:rStyle w:val="Refdenotaalpie"/>
          <w:rFonts w:ascii="Arial" w:hAnsi="Arial" w:cs="Arial"/>
          <w:sz w:val="16"/>
          <w:szCs w:val="16"/>
        </w:rPr>
        <w:footnoteRef/>
      </w:r>
      <w:r w:rsidRPr="009C024F">
        <w:rPr>
          <w:rFonts w:ascii="Arial" w:hAnsi="Arial" w:cs="Arial"/>
          <w:sz w:val="16"/>
          <w:szCs w:val="16"/>
        </w:rPr>
        <w:t xml:space="preserve"> </w:t>
      </w:r>
      <w:hyperlink r:id="rId1" w:history="1">
        <w:r w:rsidRPr="009C024F">
          <w:rPr>
            <w:rStyle w:val="Hipervnculo"/>
            <w:rFonts w:ascii="Arial" w:hAnsi="Arial" w:cs="Arial"/>
            <w:sz w:val="16"/>
            <w:szCs w:val="16"/>
          </w:rPr>
          <w:t>https://www.gob.mx/cms/uploads/attachment/file/549882/PAE_2020.pdf</w:t>
        </w:r>
      </w:hyperlink>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02302F"/>
    <w:multiLevelType w:val="hybridMultilevel"/>
    <w:tmpl w:val="6464B0E0"/>
    <w:lvl w:ilvl="0" w:tplc="23D4C75A">
      <w:numFmt w:val="bullet"/>
      <w:lvlText w:val="•"/>
      <w:lvlJc w:val="left"/>
      <w:pPr>
        <w:ind w:left="1413" w:hanging="705"/>
      </w:pPr>
      <w:rPr>
        <w:rFonts w:ascii="Cambria" w:eastAsia="Times New Roman" w:hAnsi="Cambria"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24F"/>
    <w:rsid w:val="00021955"/>
    <w:rsid w:val="00065D35"/>
    <w:rsid w:val="00180326"/>
    <w:rsid w:val="004B07E5"/>
    <w:rsid w:val="005C56A0"/>
    <w:rsid w:val="0065387D"/>
    <w:rsid w:val="00657087"/>
    <w:rsid w:val="007B1E69"/>
    <w:rsid w:val="008016ED"/>
    <w:rsid w:val="00846DFE"/>
    <w:rsid w:val="009264AF"/>
    <w:rsid w:val="009C024F"/>
    <w:rsid w:val="009D3D3F"/>
    <w:rsid w:val="00BB1CED"/>
    <w:rsid w:val="00BC4DF5"/>
    <w:rsid w:val="00CC1BBE"/>
    <w:rsid w:val="00D46B3C"/>
    <w:rsid w:val="00D8177D"/>
    <w:rsid w:val="00DC32C5"/>
    <w:rsid w:val="00DC4F77"/>
    <w:rsid w:val="00E057CB"/>
    <w:rsid w:val="00E3698E"/>
    <w:rsid w:val="00E3769D"/>
    <w:rsid w:val="00E8253F"/>
    <w:rsid w:val="00EE2685"/>
    <w:rsid w:val="00F56BF6"/>
    <w:rsid w:val="00F87C8E"/>
    <w:rsid w:val="00FF38F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290A64-2985-4366-8496-05E101D3A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024F"/>
    <w:pPr>
      <w:spacing w:after="200" w:line="276" w:lineRule="auto"/>
    </w:pPr>
  </w:style>
  <w:style w:type="paragraph" w:styleId="Ttulo2">
    <w:name w:val="heading 2"/>
    <w:basedOn w:val="Normal"/>
    <w:next w:val="Normal"/>
    <w:link w:val="Ttulo2Car"/>
    <w:uiPriority w:val="9"/>
    <w:unhideWhenUsed/>
    <w:qFormat/>
    <w:rsid w:val="009C024F"/>
    <w:pPr>
      <w:keepNext/>
      <w:keepLines/>
      <w:spacing w:before="40" w:after="0"/>
      <w:jc w:val="center"/>
      <w:outlineLvl w:val="1"/>
    </w:pPr>
    <w:rPr>
      <w:rFonts w:ascii="Cambria" w:eastAsiaTheme="majorEastAsia" w:hAnsi="Cambria" w:cstheme="majorBidi"/>
      <w:b/>
      <w:i/>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9C024F"/>
    <w:rPr>
      <w:rFonts w:ascii="Cambria" w:eastAsiaTheme="majorEastAsia" w:hAnsi="Cambria" w:cstheme="majorBidi"/>
      <w:b/>
      <w:i/>
      <w:szCs w:val="26"/>
    </w:rPr>
  </w:style>
  <w:style w:type="character" w:customStyle="1" w:styleId="CABEZACar">
    <w:name w:val="CABEZA Car"/>
    <w:basedOn w:val="Fuentedeprrafopredeter"/>
    <w:link w:val="CABEZA"/>
    <w:locked/>
    <w:rsid w:val="009C024F"/>
    <w:rPr>
      <w:rFonts w:ascii="Soberana Sans" w:eastAsia="Times New Roman" w:hAnsi="Soberana Sans" w:cs="Times New Roman"/>
      <w:noProof/>
      <w:sz w:val="18"/>
      <w:szCs w:val="20"/>
      <w:lang w:val="en-US"/>
    </w:rPr>
  </w:style>
  <w:style w:type="paragraph" w:customStyle="1" w:styleId="CABEZA">
    <w:name w:val="CABEZA"/>
    <w:basedOn w:val="Normal"/>
    <w:link w:val="CABEZACar"/>
    <w:rsid w:val="009C024F"/>
    <w:pPr>
      <w:spacing w:before="120" w:after="120" w:line="240" w:lineRule="auto"/>
      <w:ind w:left="284"/>
      <w:contextualSpacing/>
    </w:pPr>
    <w:rPr>
      <w:rFonts w:ascii="Soberana Sans" w:eastAsia="Times New Roman" w:hAnsi="Soberana Sans" w:cs="Times New Roman"/>
      <w:noProof/>
      <w:sz w:val="18"/>
      <w:szCs w:val="20"/>
      <w:lang w:val="en-US"/>
    </w:rPr>
  </w:style>
  <w:style w:type="paragraph" w:customStyle="1" w:styleId="Textocuadro">
    <w:name w:val="Texto cuadro"/>
    <w:basedOn w:val="Normal"/>
    <w:next w:val="Normal"/>
    <w:rsid w:val="009C024F"/>
    <w:pPr>
      <w:spacing w:before="20" w:after="0" w:line="240" w:lineRule="auto"/>
    </w:pPr>
    <w:rPr>
      <w:rFonts w:ascii="Soberana Sans" w:eastAsia="Times New Roman" w:hAnsi="Soberana Sans" w:cs="Times New Roman"/>
      <w:sz w:val="12"/>
      <w:szCs w:val="20"/>
      <w:lang w:val="es-ES"/>
    </w:rPr>
  </w:style>
  <w:style w:type="paragraph" w:customStyle="1" w:styleId="Textocuadroneg">
    <w:name w:val="Texto cuadro neg"/>
    <w:basedOn w:val="Normal"/>
    <w:next w:val="Normal"/>
    <w:qFormat/>
    <w:rsid w:val="009C024F"/>
    <w:pPr>
      <w:spacing w:before="20" w:after="0" w:line="240" w:lineRule="auto"/>
    </w:pPr>
    <w:rPr>
      <w:rFonts w:ascii="Soberana Sans" w:hAnsi="Soberana Sans"/>
      <w:b/>
      <w:sz w:val="12"/>
      <w:lang w:val="es-ES"/>
    </w:rPr>
  </w:style>
  <w:style w:type="paragraph" w:customStyle="1" w:styleId="Cdetextonegrita">
    <w:name w:val="C. de texto negrita"/>
    <w:basedOn w:val="Normal"/>
    <w:qFormat/>
    <w:rsid w:val="009C024F"/>
    <w:pPr>
      <w:spacing w:after="120" w:line="240" w:lineRule="auto"/>
      <w:jc w:val="both"/>
    </w:pPr>
    <w:rPr>
      <w:rFonts w:ascii="Soberana Sans" w:eastAsia="Times New Roman" w:hAnsi="Soberana Sans" w:cs="Arial"/>
      <w:b/>
      <w:szCs w:val="20"/>
      <w:lang w:val="es-ES" w:eastAsia="es-ES"/>
    </w:rPr>
  </w:style>
  <w:style w:type="paragraph" w:customStyle="1" w:styleId="Cdetexto">
    <w:name w:val="C. de texto"/>
    <w:basedOn w:val="Normal"/>
    <w:qFormat/>
    <w:rsid w:val="009C024F"/>
    <w:pPr>
      <w:spacing w:after="120" w:line="240" w:lineRule="auto"/>
      <w:jc w:val="both"/>
    </w:pPr>
    <w:rPr>
      <w:rFonts w:ascii="Soberana Sans" w:eastAsia="Times New Roman" w:hAnsi="Soberana Sans" w:cs="Arial"/>
      <w:szCs w:val="20"/>
      <w:lang w:val="es-ES" w:eastAsia="es-ES"/>
    </w:rPr>
  </w:style>
  <w:style w:type="paragraph" w:styleId="Textonotapie">
    <w:name w:val="footnote text"/>
    <w:basedOn w:val="Normal"/>
    <w:link w:val="TextonotapieCar"/>
    <w:uiPriority w:val="99"/>
    <w:semiHidden/>
    <w:unhideWhenUsed/>
    <w:rsid w:val="009C024F"/>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C024F"/>
    <w:rPr>
      <w:sz w:val="20"/>
      <w:szCs w:val="20"/>
    </w:rPr>
  </w:style>
  <w:style w:type="character" w:styleId="Refdenotaalpie">
    <w:name w:val="footnote reference"/>
    <w:basedOn w:val="Fuentedeprrafopredeter"/>
    <w:uiPriority w:val="99"/>
    <w:semiHidden/>
    <w:unhideWhenUsed/>
    <w:rsid w:val="009C024F"/>
    <w:rPr>
      <w:vertAlign w:val="superscript"/>
    </w:rPr>
  </w:style>
  <w:style w:type="character" w:styleId="Hipervnculo">
    <w:name w:val="Hyperlink"/>
    <w:basedOn w:val="Fuentedeprrafopredeter"/>
    <w:uiPriority w:val="99"/>
    <w:unhideWhenUsed/>
    <w:rsid w:val="009C024F"/>
    <w:rPr>
      <w:color w:val="0563C1"/>
      <w:u w:val="single"/>
    </w:rPr>
  </w:style>
  <w:style w:type="character" w:styleId="Hipervnculovisitado">
    <w:name w:val="FollowedHyperlink"/>
    <w:basedOn w:val="Fuentedeprrafopredeter"/>
    <w:uiPriority w:val="99"/>
    <w:semiHidden/>
    <w:unhideWhenUsed/>
    <w:rsid w:val="0065708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579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gob.mx/cms/uploads/attachment/file/549882/PAE_2020.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124D0-71E3-4ECA-B423-10646CF01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795</Words>
  <Characters>4373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UED</dc:creator>
  <cp:lastModifiedBy>Haydeé Martínez</cp:lastModifiedBy>
  <cp:revision>2</cp:revision>
  <dcterms:created xsi:type="dcterms:W3CDTF">2020-12-30T15:47:00Z</dcterms:created>
  <dcterms:modified xsi:type="dcterms:W3CDTF">2020-12-30T15:47:00Z</dcterms:modified>
</cp:coreProperties>
</file>