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0FE" w:rsidRPr="001B4B9D" w:rsidRDefault="000F30FE" w:rsidP="000F30FE">
      <w:pPr>
        <w:spacing w:after="200" w:line="276" w:lineRule="auto"/>
        <w:ind w:right="51"/>
        <w:jc w:val="center"/>
        <w:rPr>
          <w:b/>
          <w:iCs/>
          <w:sz w:val="28"/>
          <w:szCs w:val="28"/>
          <w:lang w:val="es-MX"/>
        </w:rPr>
      </w:pPr>
      <w:r w:rsidRPr="001B4B9D">
        <w:rPr>
          <w:b/>
          <w:iCs/>
          <w:sz w:val="28"/>
          <w:szCs w:val="28"/>
          <w:lang w:val="es-MX"/>
        </w:rPr>
        <w:t xml:space="preserve">Anexo </w:t>
      </w:r>
      <w:r w:rsidR="001B4B9D" w:rsidRPr="001B4B9D">
        <w:rPr>
          <w:b/>
          <w:iCs/>
          <w:sz w:val="28"/>
          <w:szCs w:val="28"/>
          <w:lang w:val="es-MX"/>
        </w:rPr>
        <w:t>1</w:t>
      </w:r>
      <w:r w:rsidRPr="001B4B9D">
        <w:rPr>
          <w:b/>
          <w:iCs/>
          <w:sz w:val="28"/>
          <w:szCs w:val="28"/>
          <w:lang w:val="es-MX"/>
        </w:rPr>
        <w:t xml:space="preserve"> “Metodología para la cuantificación de las poblaciones Potencial y Objetivo”</w:t>
      </w:r>
    </w:p>
    <w:tbl>
      <w:tblPr>
        <w:tblW w:w="934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6075"/>
      </w:tblGrid>
      <w:tr w:rsidR="000F30FE" w:rsidRPr="001B4B9D" w:rsidTr="001B4B9D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Nombre del Programa:</w:t>
            </w:r>
          </w:p>
        </w:tc>
        <w:tc>
          <w:tcPr>
            <w:tcW w:w="6075" w:type="dxa"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Programa de Salud y Bienestar Comunitario</w:t>
            </w:r>
          </w:p>
        </w:tc>
      </w:tr>
      <w:tr w:rsidR="000F30FE" w:rsidRPr="001B4B9D" w:rsidTr="001B4B9D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Modalidad:</w:t>
            </w:r>
          </w:p>
        </w:tc>
        <w:tc>
          <w:tcPr>
            <w:tcW w:w="6075" w:type="dxa"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S251, S - Sujetos a Reglas de Operación</w:t>
            </w:r>
          </w:p>
        </w:tc>
      </w:tr>
      <w:tr w:rsidR="000F30FE" w:rsidRPr="001B4B9D" w:rsidTr="001B4B9D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Dependencia/Entidad:</w:t>
            </w:r>
          </w:p>
        </w:tc>
        <w:tc>
          <w:tcPr>
            <w:tcW w:w="6075" w:type="dxa"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Sistema Nacional para el Desarrollo Integral de la Familia</w:t>
            </w:r>
          </w:p>
        </w:tc>
      </w:tr>
      <w:tr w:rsidR="000F30FE" w:rsidRPr="001B4B9D" w:rsidTr="001B4B9D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Unidad Responsable:</w:t>
            </w:r>
          </w:p>
        </w:tc>
        <w:tc>
          <w:tcPr>
            <w:tcW w:w="6075" w:type="dxa"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Dirección General de Alimentación y Desarrollo Comunitario (DGADC)</w:t>
            </w:r>
          </w:p>
        </w:tc>
      </w:tr>
      <w:tr w:rsidR="000F30FE" w:rsidRPr="001B4B9D" w:rsidTr="001B4B9D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Tipo de Evaluación:</w:t>
            </w:r>
          </w:p>
        </w:tc>
        <w:tc>
          <w:tcPr>
            <w:tcW w:w="6075" w:type="dxa"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Diseño</w:t>
            </w:r>
          </w:p>
        </w:tc>
      </w:tr>
      <w:tr w:rsidR="000F30FE" w:rsidRPr="001B4B9D" w:rsidTr="001B4B9D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Año de la Evaluación:</w:t>
            </w:r>
          </w:p>
        </w:tc>
        <w:tc>
          <w:tcPr>
            <w:tcW w:w="6075" w:type="dxa"/>
          </w:tcPr>
          <w:p w:rsidR="000F30FE" w:rsidRPr="001B4B9D" w:rsidRDefault="000F30FE" w:rsidP="00D54FF6">
            <w:pPr>
              <w:rPr>
                <w:b/>
                <w:bCs/>
                <w:color w:val="000000"/>
                <w:lang w:val="es-MX" w:eastAsia="es-MX"/>
              </w:rPr>
            </w:pPr>
            <w:r w:rsidRPr="001B4B9D">
              <w:rPr>
                <w:b/>
                <w:bCs/>
                <w:color w:val="000000"/>
                <w:lang w:val="es-MX" w:eastAsia="es-MX"/>
              </w:rPr>
              <w:t>2020</w:t>
            </w:r>
          </w:p>
        </w:tc>
      </w:tr>
    </w:tbl>
    <w:p w:rsidR="00FE1500" w:rsidRPr="001B4B9D" w:rsidRDefault="00FE1500" w:rsidP="00FE1500">
      <w:pPr>
        <w:overflowPunct w:val="0"/>
        <w:autoSpaceDE w:val="0"/>
        <w:autoSpaceDN w:val="0"/>
        <w:adjustRightInd w:val="0"/>
        <w:spacing w:after="240" w:line="276" w:lineRule="auto"/>
        <w:jc w:val="both"/>
        <w:textAlignment w:val="baseline"/>
        <w:rPr>
          <w:lang w:val="es-MX"/>
        </w:rPr>
      </w:pPr>
    </w:p>
    <w:tbl>
      <w:tblPr>
        <w:tblW w:w="13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2430"/>
        <w:gridCol w:w="1890"/>
        <w:gridCol w:w="3510"/>
        <w:gridCol w:w="3793"/>
      </w:tblGrid>
      <w:tr w:rsidR="00F33D4D" w:rsidRPr="001B4B9D" w:rsidTr="00BF09FD">
        <w:trPr>
          <w:trHeight w:val="925"/>
          <w:tblHeader/>
        </w:trPr>
        <w:tc>
          <w:tcPr>
            <w:tcW w:w="1435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lastRenderedPageBreak/>
              <w:t xml:space="preserve">Población </w:t>
            </w:r>
          </w:p>
        </w:tc>
        <w:tc>
          <w:tcPr>
            <w:tcW w:w="2430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Definición</w:t>
            </w:r>
            <w:bookmarkStart w:id="0" w:name="_GoBack"/>
            <w:bookmarkEnd w:id="0"/>
          </w:p>
        </w:tc>
        <w:tc>
          <w:tcPr>
            <w:tcW w:w="1890" w:type="dxa"/>
          </w:tcPr>
          <w:p w:rsidR="00FE1500" w:rsidRPr="001B4B9D" w:rsidRDefault="00F33D4D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Cuantificación 2020</w:t>
            </w:r>
          </w:p>
        </w:tc>
        <w:tc>
          <w:tcPr>
            <w:tcW w:w="3510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Metodología</w:t>
            </w:r>
          </w:p>
        </w:tc>
        <w:tc>
          <w:tcPr>
            <w:tcW w:w="3793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Fuentes de información</w:t>
            </w:r>
          </w:p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</w:p>
        </w:tc>
      </w:tr>
      <w:tr w:rsidR="00F33D4D" w:rsidRPr="001B4B9D" w:rsidTr="00906683">
        <w:trPr>
          <w:trHeight w:val="7259"/>
        </w:trPr>
        <w:tc>
          <w:tcPr>
            <w:tcW w:w="1435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Potencial</w:t>
            </w:r>
          </w:p>
        </w:tc>
        <w:tc>
          <w:tcPr>
            <w:tcW w:w="2430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 xml:space="preserve">Todas las localidades de alta y muy alta marginación, </w:t>
            </w:r>
            <w:proofErr w:type="gramStart"/>
            <w:r w:rsidRPr="001B4B9D">
              <w:rPr>
                <w:bCs/>
                <w:iCs/>
                <w:lang w:val="es-MX"/>
              </w:rPr>
              <w:t>de acuerdo a</w:t>
            </w:r>
            <w:proofErr w:type="gramEnd"/>
            <w:r w:rsidRPr="001B4B9D">
              <w:rPr>
                <w:bCs/>
                <w:iCs/>
                <w:lang w:val="es-MX"/>
              </w:rPr>
              <w:t xml:space="preserve"> la publicación oficial "Índice de Marginación por Localidad 2010" del Consejo Nacional de Población (CONAPO) (sección 3.2.1, ROP 2020)</w:t>
            </w:r>
          </w:p>
        </w:tc>
        <w:tc>
          <w:tcPr>
            <w:tcW w:w="1890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84,769 localidades</w:t>
            </w:r>
          </w:p>
        </w:tc>
        <w:tc>
          <w:tcPr>
            <w:tcW w:w="3510" w:type="dxa"/>
          </w:tcPr>
          <w:p w:rsidR="00906683" w:rsidRPr="001B4B9D" w:rsidRDefault="00906683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El programa no cuenta con una metodología propia para determinar la población potencial.</w:t>
            </w:r>
          </w:p>
          <w:p w:rsidR="00FE1500" w:rsidRPr="001B4B9D" w:rsidRDefault="00F33D4D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E</w:t>
            </w:r>
            <w:r w:rsidRPr="001B4B9D">
              <w:rPr>
                <w:bCs/>
                <w:iCs/>
                <w:lang w:val="es-MX"/>
              </w:rPr>
              <w:t xml:space="preserve">l programa utiliza </w:t>
            </w:r>
            <w:r w:rsidRPr="001B4B9D">
              <w:rPr>
                <w:bCs/>
                <w:iCs/>
                <w:lang w:val="es-MX"/>
              </w:rPr>
              <w:t xml:space="preserve">la metodología </w:t>
            </w:r>
            <w:r w:rsidR="00906683" w:rsidRPr="001B4B9D">
              <w:rPr>
                <w:bCs/>
                <w:iCs/>
                <w:lang w:val="es-MX"/>
              </w:rPr>
              <w:t>de</w:t>
            </w:r>
            <w:r w:rsidRPr="001B4B9D">
              <w:rPr>
                <w:bCs/>
                <w:iCs/>
                <w:lang w:val="es-MX"/>
              </w:rPr>
              <w:t xml:space="preserve"> CONAPO </w:t>
            </w:r>
            <w:r w:rsidR="00906683" w:rsidRPr="001B4B9D">
              <w:rPr>
                <w:bCs/>
                <w:iCs/>
                <w:lang w:val="es-MX"/>
              </w:rPr>
              <w:t>para calcular el</w:t>
            </w:r>
            <w:r w:rsidRPr="001B4B9D">
              <w:rPr>
                <w:bCs/>
                <w:iCs/>
                <w:lang w:val="es-MX"/>
              </w:rPr>
              <w:t xml:space="preserve"> </w:t>
            </w:r>
            <w:r w:rsidRPr="001B4B9D">
              <w:rPr>
                <w:bCs/>
                <w:iCs/>
                <w:lang w:val="es-MX"/>
              </w:rPr>
              <w:t>“Índice de Marginación por Localidad 2010”</w:t>
            </w:r>
            <w:r w:rsidRPr="001B4B9D">
              <w:rPr>
                <w:bCs/>
                <w:iCs/>
                <w:lang w:val="es-MX"/>
              </w:rPr>
              <w:t xml:space="preserve"> </w:t>
            </w:r>
            <w:r w:rsidR="00906683" w:rsidRPr="001B4B9D">
              <w:rPr>
                <w:bCs/>
                <w:iCs/>
                <w:lang w:val="es-MX"/>
              </w:rPr>
              <w:t xml:space="preserve">que </w:t>
            </w:r>
            <w:r w:rsidRPr="001B4B9D">
              <w:rPr>
                <w:bCs/>
                <w:iCs/>
                <w:lang w:val="es-MX"/>
              </w:rPr>
              <w:t xml:space="preserve">determina las localidades de alta y muy alta marginación </w:t>
            </w:r>
            <w:r w:rsidRPr="001B4B9D">
              <w:rPr>
                <w:bCs/>
                <w:iCs/>
                <w:lang w:val="es-MX"/>
              </w:rPr>
              <w:t xml:space="preserve">(apartado 1.4.1, Diagnóstico). </w:t>
            </w:r>
          </w:p>
        </w:tc>
        <w:tc>
          <w:tcPr>
            <w:tcW w:w="3793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 xml:space="preserve">"Índice de Marginación por Localidad 2010" </w:t>
            </w:r>
            <w:r w:rsidR="00F33D4D" w:rsidRPr="001B4B9D">
              <w:rPr>
                <w:bCs/>
                <w:iCs/>
                <w:lang w:val="es-MX"/>
              </w:rPr>
              <w:t xml:space="preserve">del </w:t>
            </w:r>
            <w:r w:rsidRPr="001B4B9D">
              <w:rPr>
                <w:bCs/>
                <w:iCs/>
                <w:lang w:val="es-MX"/>
              </w:rPr>
              <w:t>CONAPO</w:t>
            </w:r>
            <w:r w:rsidR="00F33D4D" w:rsidRPr="001B4B9D">
              <w:rPr>
                <w:bCs/>
                <w:iCs/>
                <w:lang w:val="es-MX"/>
              </w:rPr>
              <w:t xml:space="preserve"> con base en el </w:t>
            </w:r>
            <w:r w:rsidRPr="001B4B9D">
              <w:rPr>
                <w:bCs/>
                <w:iCs/>
                <w:lang w:val="es-MX"/>
              </w:rPr>
              <w:t>Censo de Población y Vivienda del INEGI</w:t>
            </w:r>
            <w:r w:rsidR="00F33D4D" w:rsidRPr="001B4B9D">
              <w:rPr>
                <w:bCs/>
                <w:iCs/>
                <w:lang w:val="es-MX"/>
              </w:rPr>
              <w:t xml:space="preserve"> (2010).</w:t>
            </w:r>
          </w:p>
          <w:p w:rsidR="00F33D4D" w:rsidRPr="001B4B9D" w:rsidRDefault="00F33D4D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Índice de Marginación y localidades disponibles en:</w:t>
            </w:r>
          </w:p>
          <w:p w:rsidR="00FE1500" w:rsidRPr="001B4B9D" w:rsidRDefault="00F33D4D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hyperlink r:id="rId4" w:history="1">
              <w:r w:rsidRPr="001B4B9D">
                <w:rPr>
                  <w:rStyle w:val="Hyperlink"/>
                  <w:bCs/>
                  <w:iCs/>
                  <w:lang w:val="es-MX"/>
                </w:rPr>
                <w:t>http://www.conapo.gob.mx/es/CONAPO/Indice_de_Marginacion_por_Localidad_2010</w:t>
              </w:r>
            </w:hyperlink>
          </w:p>
        </w:tc>
      </w:tr>
      <w:tr w:rsidR="00F33D4D" w:rsidRPr="001B4B9D" w:rsidTr="00906683">
        <w:trPr>
          <w:trHeight w:val="7871"/>
        </w:trPr>
        <w:tc>
          <w:tcPr>
            <w:tcW w:w="1435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lastRenderedPageBreak/>
              <w:t>Objetivo</w:t>
            </w:r>
          </w:p>
        </w:tc>
        <w:tc>
          <w:tcPr>
            <w:tcW w:w="2430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 xml:space="preserve">Localidades de alta y muy alta marginación, </w:t>
            </w:r>
            <w:proofErr w:type="gramStart"/>
            <w:r w:rsidRPr="001B4B9D">
              <w:rPr>
                <w:bCs/>
                <w:iCs/>
                <w:lang w:val="es-MX"/>
              </w:rPr>
              <w:t>de acuerdo a</w:t>
            </w:r>
            <w:proofErr w:type="gramEnd"/>
            <w:r w:rsidRPr="001B4B9D">
              <w:rPr>
                <w:bCs/>
                <w:iCs/>
                <w:lang w:val="es-MX"/>
              </w:rPr>
              <w:t xml:space="preserve"> la publicación oficial "Índice de Marginación por Localidad 2010" del Consejo Nacional de Población (CONAPO), con GD constituidos</w:t>
            </w:r>
            <w:r w:rsidR="00F33D4D" w:rsidRPr="001B4B9D">
              <w:rPr>
                <w:bCs/>
                <w:iCs/>
                <w:lang w:val="es-MX"/>
              </w:rPr>
              <w:t xml:space="preserve"> </w:t>
            </w:r>
            <w:r w:rsidRPr="001B4B9D">
              <w:rPr>
                <w:bCs/>
                <w:iCs/>
                <w:lang w:val="es-MX"/>
              </w:rPr>
              <w:t xml:space="preserve">(sección 3.2.2, ROP 2020) </w:t>
            </w:r>
          </w:p>
        </w:tc>
        <w:tc>
          <w:tcPr>
            <w:tcW w:w="1890" w:type="dxa"/>
          </w:tcPr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701 localidades</w:t>
            </w:r>
          </w:p>
        </w:tc>
        <w:tc>
          <w:tcPr>
            <w:tcW w:w="3510" w:type="dxa"/>
          </w:tcPr>
          <w:p w:rsidR="00FE1500" w:rsidRPr="001B4B9D" w:rsidRDefault="004F4FF7" w:rsidP="004F4FF7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 xml:space="preserve">El programa agrega la información de </w:t>
            </w:r>
            <w:r w:rsidRPr="001B4B9D">
              <w:rPr>
                <w:bCs/>
                <w:iCs/>
                <w:lang w:val="es-MX"/>
              </w:rPr>
              <w:t xml:space="preserve">Proyecto Anual de Salud y Bienestar Comunitario (PASBIC) que los SEDIF envían al SNDIF con base en el numeral 4.1.2 de las ROP 2020. </w:t>
            </w:r>
            <w:r w:rsidRPr="001B4B9D">
              <w:rPr>
                <w:bCs/>
                <w:iCs/>
                <w:lang w:val="es-MX"/>
              </w:rPr>
              <w:t>Con esta información</w:t>
            </w:r>
            <w:r w:rsidR="00906683" w:rsidRPr="001B4B9D">
              <w:rPr>
                <w:bCs/>
                <w:iCs/>
                <w:lang w:val="es-MX"/>
              </w:rPr>
              <w:t xml:space="preserve">, el programa </w:t>
            </w:r>
            <w:r w:rsidRPr="001B4B9D">
              <w:rPr>
                <w:bCs/>
                <w:iCs/>
                <w:lang w:val="es-MX"/>
              </w:rPr>
              <w:t xml:space="preserve">cuantifica las </w:t>
            </w:r>
            <w:r w:rsidR="00FE1500" w:rsidRPr="001B4B9D">
              <w:rPr>
                <w:bCs/>
                <w:iCs/>
                <w:lang w:val="es-MX"/>
              </w:rPr>
              <w:t>localidades con Grupos de Desarrollo</w:t>
            </w:r>
            <w:r w:rsidRPr="001B4B9D">
              <w:rPr>
                <w:bCs/>
                <w:iCs/>
                <w:lang w:val="es-MX"/>
              </w:rPr>
              <w:t xml:space="preserve">. </w:t>
            </w:r>
          </w:p>
          <w:p w:rsidR="004F4FF7" w:rsidRPr="001B4B9D" w:rsidRDefault="00906683" w:rsidP="004F4FF7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>Sin embargo, la cuantificación de las localidades actualmente incluye localidades que no tienen alto y muy alto grado de marginación. Por ejemplo, en la “</w:t>
            </w:r>
            <w:r w:rsidRPr="001B4B9D">
              <w:rPr>
                <w:bCs/>
                <w:iCs/>
                <w:lang w:val="es-MX"/>
              </w:rPr>
              <w:t>Base Cobertura Programada, PSBC</w:t>
            </w:r>
            <w:r w:rsidRPr="001B4B9D">
              <w:rPr>
                <w:bCs/>
                <w:iCs/>
                <w:lang w:val="es-MX"/>
              </w:rPr>
              <w:t xml:space="preserve">, 2020”, la cuantificación de 701 localidades incluye localidades que no presentan alto y muy alto grado de marginación. </w:t>
            </w:r>
          </w:p>
        </w:tc>
        <w:tc>
          <w:tcPr>
            <w:tcW w:w="3793" w:type="dxa"/>
          </w:tcPr>
          <w:p w:rsidR="001C14BB" w:rsidRPr="001B4B9D" w:rsidRDefault="00FE1500" w:rsidP="004F4FF7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 xml:space="preserve">Base </w:t>
            </w:r>
            <w:r w:rsidR="001C14BB" w:rsidRPr="001B4B9D">
              <w:rPr>
                <w:bCs/>
                <w:iCs/>
                <w:lang w:val="es-MX"/>
              </w:rPr>
              <w:t>Cobertura Programada</w:t>
            </w:r>
            <w:r w:rsidR="00906683" w:rsidRPr="001B4B9D">
              <w:rPr>
                <w:bCs/>
                <w:iCs/>
                <w:lang w:val="es-MX"/>
              </w:rPr>
              <w:t>, PSBC,</w:t>
            </w:r>
            <w:r w:rsidR="001C14BB" w:rsidRPr="001B4B9D">
              <w:rPr>
                <w:bCs/>
                <w:iCs/>
                <w:lang w:val="es-MX"/>
              </w:rPr>
              <w:t xml:space="preserve"> </w:t>
            </w:r>
            <w:r w:rsidR="004F4FF7" w:rsidRPr="001B4B9D">
              <w:rPr>
                <w:bCs/>
                <w:iCs/>
                <w:lang w:val="es-MX"/>
              </w:rPr>
              <w:t>2020 que contiene información d</w:t>
            </w:r>
            <w:r w:rsidR="001C14BB" w:rsidRPr="001B4B9D">
              <w:rPr>
                <w:bCs/>
                <w:iCs/>
                <w:lang w:val="es-MX"/>
              </w:rPr>
              <w:t>el Proyecto Anual de Salud y Bienestar Comunitario (PASBIC)</w:t>
            </w:r>
            <w:r w:rsidR="004F4FF7" w:rsidRPr="001B4B9D">
              <w:rPr>
                <w:bCs/>
                <w:iCs/>
                <w:lang w:val="es-MX"/>
              </w:rPr>
              <w:t xml:space="preserve"> </w:t>
            </w:r>
            <w:r w:rsidR="001C14BB" w:rsidRPr="001B4B9D">
              <w:rPr>
                <w:bCs/>
                <w:iCs/>
                <w:lang w:val="es-MX"/>
              </w:rPr>
              <w:t>que los SEDIF envían</w:t>
            </w:r>
            <w:r w:rsidR="004F4FF7" w:rsidRPr="001B4B9D">
              <w:rPr>
                <w:bCs/>
                <w:iCs/>
                <w:lang w:val="es-MX"/>
              </w:rPr>
              <w:t xml:space="preserve"> </w:t>
            </w:r>
            <w:r w:rsidR="001C14BB" w:rsidRPr="001B4B9D">
              <w:rPr>
                <w:bCs/>
                <w:iCs/>
                <w:lang w:val="es-MX"/>
              </w:rPr>
              <w:t>al SNDIF</w:t>
            </w:r>
            <w:r w:rsidR="004F4FF7" w:rsidRPr="001B4B9D">
              <w:rPr>
                <w:bCs/>
                <w:iCs/>
                <w:lang w:val="es-MX"/>
              </w:rPr>
              <w:t xml:space="preserve"> con base en el numeral 4.1.2 de las ROP 2020.</w:t>
            </w:r>
            <w:r w:rsidR="001C14BB" w:rsidRPr="001B4B9D">
              <w:rPr>
                <w:bCs/>
                <w:iCs/>
                <w:lang w:val="es-MX"/>
              </w:rPr>
              <w:t xml:space="preserve"> </w:t>
            </w:r>
          </w:p>
          <w:p w:rsidR="004F4FF7" w:rsidRPr="001B4B9D" w:rsidRDefault="004F4FF7" w:rsidP="004F4FF7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  <w:r w:rsidRPr="001B4B9D">
              <w:rPr>
                <w:bCs/>
                <w:iCs/>
                <w:lang w:val="es-MX"/>
              </w:rPr>
              <w:t xml:space="preserve">Base de datos no pública. </w:t>
            </w:r>
          </w:p>
          <w:p w:rsidR="00FE1500" w:rsidRPr="001B4B9D" w:rsidRDefault="00FE1500" w:rsidP="00241E56">
            <w:pPr>
              <w:tabs>
                <w:tab w:val="left" w:pos="540"/>
              </w:tabs>
              <w:spacing w:line="276" w:lineRule="auto"/>
              <w:jc w:val="both"/>
              <w:rPr>
                <w:bCs/>
                <w:iCs/>
                <w:lang w:val="es-MX"/>
              </w:rPr>
            </w:pPr>
          </w:p>
        </w:tc>
      </w:tr>
    </w:tbl>
    <w:p w:rsidR="00681321" w:rsidRPr="001B4B9D" w:rsidRDefault="00681321">
      <w:pPr>
        <w:rPr>
          <w:lang w:val="es-MX"/>
        </w:rPr>
      </w:pPr>
    </w:p>
    <w:sectPr w:rsidR="00681321" w:rsidRPr="001B4B9D" w:rsidSect="00F33D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00"/>
    <w:rsid w:val="000E78B1"/>
    <w:rsid w:val="000F30FE"/>
    <w:rsid w:val="001B4B9D"/>
    <w:rsid w:val="001C14BB"/>
    <w:rsid w:val="00310819"/>
    <w:rsid w:val="00426254"/>
    <w:rsid w:val="004C73F0"/>
    <w:rsid w:val="004F4FF7"/>
    <w:rsid w:val="00681321"/>
    <w:rsid w:val="00830ADB"/>
    <w:rsid w:val="00906683"/>
    <w:rsid w:val="00A5123D"/>
    <w:rsid w:val="00AA01DD"/>
    <w:rsid w:val="00BF09FD"/>
    <w:rsid w:val="00C43923"/>
    <w:rsid w:val="00C87DFE"/>
    <w:rsid w:val="00D702CA"/>
    <w:rsid w:val="00DE123E"/>
    <w:rsid w:val="00EA6E0F"/>
    <w:rsid w:val="00F33D4D"/>
    <w:rsid w:val="00F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017C"/>
  <w15:chartTrackingRefBased/>
  <w15:docId w15:val="{FF1DF813-A3DD-4F79-959B-B51FAEFA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50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500"/>
    <w:pPr>
      <w:spacing w:after="0" w:line="240" w:lineRule="auto"/>
    </w:pPr>
    <w:rPr>
      <w:rFonts w:ascii="Times" w:eastAsia="Times" w:hAnsi="Times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500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33D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D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apo.gob.mx/es/CONAPO/Indice_de_Marginacion_por_Localidad_2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tatis23ho@gmail.com</dc:creator>
  <cp:keywords/>
  <dc:description/>
  <cp:lastModifiedBy>tatis23ho@gmail.com</cp:lastModifiedBy>
  <cp:revision>5</cp:revision>
  <dcterms:created xsi:type="dcterms:W3CDTF">2020-11-26T23:40:00Z</dcterms:created>
  <dcterms:modified xsi:type="dcterms:W3CDTF">2020-12-19T17:32:00Z</dcterms:modified>
</cp:coreProperties>
</file>