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024F" w:rsidRPr="003677CD" w:rsidRDefault="009C024F" w:rsidP="009C024F">
      <w:pPr>
        <w:pStyle w:val="Ttulo2"/>
      </w:pPr>
      <w:bookmarkStart w:id="0" w:name="_GoBack"/>
      <w:bookmarkEnd w:id="0"/>
      <w:r w:rsidRPr="003677CD">
        <w:t xml:space="preserve">ANEXO </w:t>
      </w:r>
      <w:r>
        <w:t>5</w:t>
      </w:r>
      <w:r w:rsidRPr="003677CD">
        <w:t xml:space="preserve">: FORMATO DE ASPECTOS RELEVANTES DE LA EVALUACIÓN </w:t>
      </w:r>
      <w:r>
        <w:t>(FARE)</w:t>
      </w:r>
      <w:r>
        <w:rPr>
          <w:rStyle w:val="Refdenotaalpie"/>
        </w:rPr>
        <w:footnoteReference w:id="1"/>
      </w:r>
    </w:p>
    <w:p w:rsidR="009C024F" w:rsidRPr="003677CD" w:rsidRDefault="009C024F" w:rsidP="009C024F">
      <w:pPr>
        <w:spacing w:after="0" w:line="240" w:lineRule="auto"/>
        <w:rPr>
          <w:rFonts w:ascii="Cambria" w:eastAsiaTheme="majorEastAsia" w:hAnsi="Cambria" w:cstheme="majorBidi"/>
          <w:b/>
          <w:bCs/>
          <w:i/>
        </w:rPr>
      </w:pPr>
    </w:p>
    <w:tbl>
      <w:tblPr>
        <w:tblW w:w="8941"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988"/>
        <w:gridCol w:w="1417"/>
        <w:gridCol w:w="2126"/>
        <w:gridCol w:w="1701"/>
        <w:gridCol w:w="443"/>
        <w:gridCol w:w="463"/>
        <w:gridCol w:w="1803"/>
      </w:tblGrid>
      <w:tr w:rsidR="009C024F" w:rsidRPr="00B071C5" w:rsidTr="00A36AE0">
        <w:trPr>
          <w:trHeight w:val="583"/>
          <w:jc w:val="center"/>
        </w:trPr>
        <w:tc>
          <w:tcPr>
            <w:tcW w:w="2405" w:type="dxa"/>
            <w:gridSpan w:val="2"/>
            <w:shd w:val="clear" w:color="auto" w:fill="AEAAAA" w:themeFill="background2" w:themeFillShade="BF"/>
            <w:vAlign w:val="center"/>
          </w:tcPr>
          <w:p w:rsidR="009C024F" w:rsidRPr="009C5481" w:rsidRDefault="009C024F" w:rsidP="00A36AE0">
            <w:pPr>
              <w:pStyle w:val="Textocuadroneg"/>
              <w:rPr>
                <w:rFonts w:ascii="Cambria" w:hAnsi="Cambria"/>
                <w:b w:val="0"/>
                <w:i/>
                <w:color w:val="FFFFFF" w:themeColor="background1"/>
                <w:sz w:val="16"/>
                <w:szCs w:val="16"/>
              </w:rPr>
            </w:pPr>
            <w:r w:rsidRPr="009C5481">
              <w:rPr>
                <w:rFonts w:ascii="Cambria" w:hAnsi="Cambria"/>
                <w:color w:val="FFFFFF" w:themeColor="background1"/>
                <w:sz w:val="16"/>
                <w:szCs w:val="16"/>
              </w:rPr>
              <w:t xml:space="preserve">Nombre de </w:t>
            </w:r>
            <w:r>
              <w:rPr>
                <w:rFonts w:ascii="Cambria" w:hAnsi="Cambria"/>
                <w:color w:val="FFFFFF" w:themeColor="background1"/>
                <w:sz w:val="16"/>
                <w:szCs w:val="16"/>
              </w:rPr>
              <w:t xml:space="preserve">la </w:t>
            </w:r>
            <w:r w:rsidRPr="009C5481">
              <w:rPr>
                <w:rFonts w:ascii="Cambria" w:hAnsi="Cambria"/>
                <w:color w:val="FFFFFF" w:themeColor="background1"/>
                <w:sz w:val="16"/>
                <w:szCs w:val="16"/>
              </w:rPr>
              <w:t>evaluación:</w:t>
            </w:r>
          </w:p>
        </w:tc>
        <w:tc>
          <w:tcPr>
            <w:tcW w:w="6536" w:type="dxa"/>
            <w:gridSpan w:val="5"/>
            <w:shd w:val="clear" w:color="auto" w:fill="AEAAAA" w:themeFill="background2" w:themeFillShade="BF"/>
            <w:vAlign w:val="center"/>
          </w:tcPr>
          <w:p w:rsidR="009C024F" w:rsidRPr="009C5481" w:rsidRDefault="009C024F" w:rsidP="00A36AE0">
            <w:pPr>
              <w:pStyle w:val="Textocuadroneg"/>
              <w:rPr>
                <w:rFonts w:ascii="Cambria" w:hAnsi="Cambria"/>
                <w:b w:val="0"/>
                <w:color w:val="FFFFFF" w:themeColor="background1"/>
                <w:sz w:val="16"/>
                <w:szCs w:val="16"/>
              </w:rPr>
            </w:pPr>
            <w:r w:rsidRPr="009C5481">
              <w:rPr>
                <w:rFonts w:ascii="Cambria" w:hAnsi="Cambria"/>
                <w:b w:val="0"/>
                <w:color w:val="FFFFFF" w:themeColor="background1"/>
                <w:sz w:val="16"/>
                <w:szCs w:val="16"/>
              </w:rPr>
              <w:t>[</w:t>
            </w:r>
            <w:r w:rsidRPr="009C5481">
              <w:rPr>
                <w:rFonts w:ascii="Cambria" w:hAnsi="Cambria"/>
                <w:b w:val="0"/>
                <w:i/>
                <w:color w:val="FFFFFF" w:themeColor="background1"/>
                <w:sz w:val="16"/>
                <w:szCs w:val="16"/>
              </w:rPr>
              <w:t xml:space="preserve">Nombre de la evaluación de acuerdo </w:t>
            </w:r>
            <w:r>
              <w:rPr>
                <w:rFonts w:ascii="Cambria" w:hAnsi="Cambria"/>
                <w:b w:val="0"/>
                <w:i/>
                <w:color w:val="FFFFFF" w:themeColor="background1"/>
                <w:sz w:val="16"/>
                <w:szCs w:val="16"/>
              </w:rPr>
              <w:t>con</w:t>
            </w:r>
            <w:r w:rsidRPr="009C5481">
              <w:rPr>
                <w:rFonts w:ascii="Cambria" w:hAnsi="Cambria"/>
                <w:b w:val="0"/>
                <w:i/>
                <w:color w:val="FFFFFF" w:themeColor="background1"/>
                <w:sz w:val="16"/>
                <w:szCs w:val="16"/>
              </w:rPr>
              <w:t xml:space="preserve"> lo indicado en los TdR /Título del informe final</w:t>
            </w:r>
            <w:r w:rsidRPr="009C5481">
              <w:rPr>
                <w:rFonts w:ascii="Cambria" w:hAnsi="Cambria"/>
                <w:b w:val="0"/>
                <w:color w:val="FFFFFF" w:themeColor="background1"/>
                <w:sz w:val="16"/>
                <w:szCs w:val="16"/>
              </w:rPr>
              <w:t>]</w:t>
            </w:r>
          </w:p>
        </w:tc>
      </w:tr>
      <w:tr w:rsidR="009C024F" w:rsidRPr="00B071C5" w:rsidTr="00A36AE0">
        <w:trPr>
          <w:trHeight w:val="583"/>
          <w:jc w:val="center"/>
        </w:trPr>
        <w:tc>
          <w:tcPr>
            <w:tcW w:w="2405" w:type="dxa"/>
            <w:gridSpan w:val="2"/>
            <w:shd w:val="clear" w:color="auto" w:fill="auto"/>
            <w:vAlign w:val="center"/>
          </w:tcPr>
          <w:p w:rsidR="009C024F" w:rsidRDefault="009C024F" w:rsidP="00A36AE0">
            <w:pPr>
              <w:pStyle w:val="Textocuadroneg"/>
              <w:rPr>
                <w:rFonts w:ascii="Cambria" w:hAnsi="Cambria"/>
                <w:sz w:val="16"/>
                <w:szCs w:val="16"/>
              </w:rPr>
            </w:pPr>
            <w:r>
              <w:rPr>
                <w:rFonts w:ascii="Cambria" w:hAnsi="Cambria"/>
                <w:sz w:val="16"/>
                <w:szCs w:val="16"/>
              </w:rPr>
              <w:t>Objetivo de la evaluación:</w:t>
            </w:r>
          </w:p>
        </w:tc>
        <w:tc>
          <w:tcPr>
            <w:tcW w:w="6536" w:type="dxa"/>
            <w:gridSpan w:val="5"/>
            <w:shd w:val="clear" w:color="auto" w:fill="auto"/>
            <w:vAlign w:val="center"/>
          </w:tcPr>
          <w:p w:rsidR="00135E1D" w:rsidRPr="00135E1D" w:rsidRDefault="00135E1D" w:rsidP="00135E1D">
            <w:pPr>
              <w:overflowPunct w:val="0"/>
              <w:autoSpaceDE w:val="0"/>
              <w:autoSpaceDN w:val="0"/>
              <w:adjustRightInd w:val="0"/>
              <w:jc w:val="both"/>
              <w:textAlignment w:val="baseline"/>
              <w:rPr>
                <w:rFonts w:ascii="Cambria" w:hAnsi="Cambria"/>
                <w:i/>
                <w:sz w:val="16"/>
                <w:szCs w:val="16"/>
                <w:lang w:val="es-ES"/>
              </w:rPr>
            </w:pPr>
            <w:r w:rsidRPr="00135E1D">
              <w:rPr>
                <w:rFonts w:ascii="Cambria" w:hAnsi="Cambria"/>
                <w:i/>
                <w:sz w:val="16"/>
                <w:szCs w:val="16"/>
                <w:lang w:val="es-ES"/>
              </w:rPr>
              <w:t>Evaluar la consistencia y orientación a resultados del Programa Presupuestario U009 “Vigilancia Epidemiológica” con la finalidad de proveer información que retroalimente su diseño, gestión y resultados.</w:t>
            </w:r>
          </w:p>
        </w:tc>
      </w:tr>
      <w:tr w:rsidR="009C024F" w:rsidRPr="00B071C5" w:rsidTr="00A36AE0">
        <w:trPr>
          <w:trHeight w:val="583"/>
          <w:jc w:val="center"/>
        </w:trPr>
        <w:tc>
          <w:tcPr>
            <w:tcW w:w="2405" w:type="dxa"/>
            <w:gridSpan w:val="2"/>
            <w:shd w:val="clear" w:color="auto" w:fill="D9D9D9" w:themeFill="background1" w:themeFillShade="D9"/>
            <w:vAlign w:val="center"/>
          </w:tcPr>
          <w:p w:rsidR="009C024F" w:rsidRDefault="009C024F" w:rsidP="00A36AE0">
            <w:pPr>
              <w:pStyle w:val="Textocuadroneg"/>
              <w:rPr>
                <w:rFonts w:ascii="Cambria" w:hAnsi="Cambria"/>
                <w:sz w:val="16"/>
                <w:szCs w:val="16"/>
              </w:rPr>
            </w:pPr>
            <w:r>
              <w:rPr>
                <w:rFonts w:ascii="Cambria" w:hAnsi="Cambria"/>
                <w:sz w:val="16"/>
                <w:szCs w:val="16"/>
              </w:rPr>
              <w:t xml:space="preserve">Tipo de evaluación: </w:t>
            </w:r>
          </w:p>
        </w:tc>
        <w:tc>
          <w:tcPr>
            <w:tcW w:w="3827" w:type="dxa"/>
            <w:gridSpan w:val="2"/>
            <w:shd w:val="clear" w:color="auto" w:fill="D9D9D9" w:themeFill="background1" w:themeFillShade="D9"/>
            <w:vAlign w:val="center"/>
          </w:tcPr>
          <w:p w:rsidR="009C024F" w:rsidRPr="00E031E0" w:rsidRDefault="00B64D40" w:rsidP="00A36AE0">
            <w:pPr>
              <w:pStyle w:val="Textocuadroneg"/>
              <w:rPr>
                <w:rFonts w:ascii="Cambria" w:hAnsi="Cambria"/>
                <w:b w:val="0"/>
                <w:sz w:val="16"/>
                <w:szCs w:val="16"/>
              </w:rPr>
            </w:pPr>
            <w:r>
              <w:rPr>
                <w:rFonts w:ascii="Cambria" w:hAnsi="Cambria"/>
                <w:b w:val="0"/>
                <w:sz w:val="16"/>
                <w:szCs w:val="16"/>
              </w:rPr>
              <w:t>Consistencia y resultados</w:t>
            </w:r>
          </w:p>
        </w:tc>
        <w:tc>
          <w:tcPr>
            <w:tcW w:w="906" w:type="dxa"/>
            <w:gridSpan w:val="2"/>
            <w:shd w:val="clear" w:color="auto" w:fill="D9D9D9" w:themeFill="background1" w:themeFillShade="D9"/>
            <w:vAlign w:val="center"/>
          </w:tcPr>
          <w:p w:rsidR="009C024F" w:rsidRPr="0056676C" w:rsidRDefault="009C024F" w:rsidP="00A36AE0">
            <w:pPr>
              <w:pStyle w:val="Textocuadroneg"/>
              <w:rPr>
                <w:rFonts w:ascii="Cambria" w:hAnsi="Cambria"/>
                <w:sz w:val="16"/>
                <w:szCs w:val="16"/>
              </w:rPr>
            </w:pPr>
            <w:r w:rsidRPr="0056676C">
              <w:rPr>
                <w:rFonts w:ascii="Cambria" w:hAnsi="Cambria"/>
                <w:sz w:val="16"/>
                <w:szCs w:val="16"/>
              </w:rPr>
              <w:t xml:space="preserve">PAE: </w:t>
            </w:r>
          </w:p>
        </w:tc>
        <w:tc>
          <w:tcPr>
            <w:tcW w:w="1803" w:type="dxa"/>
            <w:shd w:val="clear" w:color="auto" w:fill="D9D9D9" w:themeFill="background1" w:themeFillShade="D9"/>
            <w:vAlign w:val="center"/>
          </w:tcPr>
          <w:p w:rsidR="009C024F" w:rsidRPr="00E031E0" w:rsidRDefault="00B64D40" w:rsidP="00A36AE0">
            <w:pPr>
              <w:pStyle w:val="Textocuadroneg"/>
              <w:rPr>
                <w:rFonts w:ascii="Cambria" w:hAnsi="Cambria"/>
                <w:b w:val="0"/>
                <w:sz w:val="16"/>
                <w:szCs w:val="16"/>
              </w:rPr>
            </w:pPr>
            <w:r>
              <w:rPr>
                <w:rFonts w:ascii="Cambria" w:hAnsi="Cambria"/>
                <w:b w:val="0"/>
                <w:sz w:val="16"/>
                <w:szCs w:val="16"/>
              </w:rPr>
              <w:t>2017</w:t>
            </w:r>
          </w:p>
        </w:tc>
      </w:tr>
      <w:tr w:rsidR="009C024F" w:rsidRPr="00950A2D" w:rsidTr="00A36AE0">
        <w:trPr>
          <w:trHeight w:val="583"/>
          <w:jc w:val="center"/>
        </w:trPr>
        <w:tc>
          <w:tcPr>
            <w:tcW w:w="988" w:type="dxa"/>
            <w:shd w:val="clear" w:color="auto" w:fill="auto"/>
            <w:vAlign w:val="center"/>
            <w:hideMark/>
          </w:tcPr>
          <w:p w:rsidR="009C024F" w:rsidRPr="00B071C5" w:rsidRDefault="009C024F" w:rsidP="00A36AE0">
            <w:pPr>
              <w:pStyle w:val="CABEZA"/>
              <w:spacing w:before="0" w:after="0"/>
              <w:ind w:left="0"/>
              <w:rPr>
                <w:rFonts w:ascii="Cambria" w:hAnsi="Cambria"/>
                <w:b/>
                <w:sz w:val="16"/>
                <w:szCs w:val="16"/>
                <w:lang w:val="es-MX"/>
              </w:rPr>
            </w:pPr>
            <w:r>
              <w:rPr>
                <w:rFonts w:ascii="Cambria" w:hAnsi="Cambria"/>
                <w:b/>
                <w:sz w:val="16"/>
                <w:szCs w:val="16"/>
                <w:lang w:val="es-MX"/>
              </w:rPr>
              <w:t>Ramo:</w:t>
            </w:r>
          </w:p>
        </w:tc>
        <w:tc>
          <w:tcPr>
            <w:tcW w:w="7953" w:type="dxa"/>
            <w:gridSpan w:val="6"/>
            <w:shd w:val="clear" w:color="auto" w:fill="auto"/>
            <w:vAlign w:val="center"/>
          </w:tcPr>
          <w:p w:rsidR="009C024F" w:rsidRPr="00BF4C4D" w:rsidRDefault="00B64D40" w:rsidP="00A36AE0">
            <w:pPr>
              <w:pStyle w:val="CABEZA"/>
              <w:ind w:left="0"/>
              <w:rPr>
                <w:rFonts w:ascii="Cambria" w:hAnsi="Cambria"/>
                <w:sz w:val="16"/>
                <w:szCs w:val="16"/>
                <w:lang w:val="es-MX"/>
              </w:rPr>
            </w:pPr>
            <w:r>
              <w:rPr>
                <w:rFonts w:ascii="Cambria" w:hAnsi="Cambria"/>
                <w:sz w:val="16"/>
                <w:szCs w:val="16"/>
                <w:lang w:val="es-MX"/>
              </w:rPr>
              <w:t>12</w:t>
            </w:r>
          </w:p>
        </w:tc>
      </w:tr>
      <w:tr w:rsidR="009C024F" w:rsidRPr="00950A2D" w:rsidTr="00A36AE0">
        <w:trPr>
          <w:trHeight w:val="583"/>
          <w:jc w:val="center"/>
        </w:trPr>
        <w:tc>
          <w:tcPr>
            <w:tcW w:w="988" w:type="dxa"/>
            <w:shd w:val="clear" w:color="auto" w:fill="E7E6E6" w:themeFill="background2"/>
            <w:vAlign w:val="center"/>
            <w:hideMark/>
          </w:tcPr>
          <w:p w:rsidR="009C024F" w:rsidRPr="00950A2D" w:rsidRDefault="009C024F" w:rsidP="00A36AE0">
            <w:pPr>
              <w:pStyle w:val="Textocuadroneg"/>
              <w:rPr>
                <w:rFonts w:ascii="Cambria" w:hAnsi="Cambria"/>
                <w:sz w:val="16"/>
                <w:szCs w:val="16"/>
              </w:rPr>
            </w:pPr>
            <w:r w:rsidRPr="00950A2D">
              <w:rPr>
                <w:rFonts w:ascii="Cambria" w:hAnsi="Cambria"/>
                <w:sz w:val="16"/>
                <w:szCs w:val="16"/>
              </w:rPr>
              <w:t>Clave Pp</w:t>
            </w:r>
            <w:r>
              <w:rPr>
                <w:rFonts w:ascii="Cambria" w:hAnsi="Cambria"/>
                <w:sz w:val="16"/>
                <w:szCs w:val="16"/>
              </w:rPr>
              <w:t>:</w:t>
            </w:r>
          </w:p>
        </w:tc>
        <w:tc>
          <w:tcPr>
            <w:tcW w:w="1417" w:type="dxa"/>
            <w:shd w:val="clear" w:color="auto" w:fill="E7E6E6" w:themeFill="background2"/>
            <w:vAlign w:val="center"/>
            <w:hideMark/>
          </w:tcPr>
          <w:p w:rsidR="009C024F" w:rsidRPr="00950A2D" w:rsidRDefault="00B64D40" w:rsidP="00A36AE0">
            <w:pPr>
              <w:pStyle w:val="Textocuadro"/>
              <w:rPr>
                <w:rFonts w:ascii="Cambria" w:hAnsi="Cambria"/>
                <w:sz w:val="16"/>
                <w:szCs w:val="16"/>
              </w:rPr>
            </w:pPr>
            <w:r>
              <w:rPr>
                <w:rFonts w:ascii="Cambria" w:hAnsi="Cambria"/>
                <w:sz w:val="16"/>
                <w:szCs w:val="16"/>
              </w:rPr>
              <w:t>U009</w:t>
            </w:r>
            <w:r w:rsidR="009C024F" w:rsidRPr="00950A2D">
              <w:rPr>
                <w:rFonts w:ascii="Cambria" w:hAnsi="Cambria"/>
                <w:sz w:val="16"/>
                <w:szCs w:val="16"/>
              </w:rPr>
              <w:t xml:space="preserve"> </w:t>
            </w:r>
          </w:p>
        </w:tc>
        <w:tc>
          <w:tcPr>
            <w:tcW w:w="2126" w:type="dxa"/>
            <w:shd w:val="clear" w:color="auto" w:fill="E7E6E6" w:themeFill="background2"/>
            <w:vAlign w:val="center"/>
            <w:hideMark/>
          </w:tcPr>
          <w:p w:rsidR="009C024F" w:rsidRPr="00950A2D" w:rsidRDefault="009C024F" w:rsidP="00A36AE0">
            <w:pPr>
              <w:pStyle w:val="Textocuadroneg"/>
              <w:rPr>
                <w:rFonts w:ascii="Cambria" w:hAnsi="Cambria"/>
                <w:sz w:val="16"/>
                <w:szCs w:val="16"/>
              </w:rPr>
            </w:pPr>
            <w:r w:rsidRPr="00950A2D">
              <w:rPr>
                <w:rFonts w:ascii="Cambria" w:hAnsi="Cambria"/>
                <w:sz w:val="16"/>
                <w:szCs w:val="16"/>
              </w:rPr>
              <w:t>Denominación Pp</w:t>
            </w:r>
            <w:r>
              <w:rPr>
                <w:rFonts w:ascii="Cambria" w:hAnsi="Cambria"/>
                <w:sz w:val="16"/>
                <w:szCs w:val="16"/>
              </w:rPr>
              <w:t>:</w:t>
            </w:r>
          </w:p>
        </w:tc>
        <w:tc>
          <w:tcPr>
            <w:tcW w:w="4410" w:type="dxa"/>
            <w:gridSpan w:val="4"/>
            <w:shd w:val="clear" w:color="auto" w:fill="E7E6E6" w:themeFill="background2"/>
            <w:vAlign w:val="center"/>
            <w:hideMark/>
          </w:tcPr>
          <w:p w:rsidR="009C024F" w:rsidRPr="000313B8" w:rsidRDefault="00B64D40" w:rsidP="00A36AE0">
            <w:pPr>
              <w:pStyle w:val="Textocuadro"/>
              <w:rPr>
                <w:rFonts w:ascii="Cambria" w:hAnsi="Cambria"/>
                <w:i/>
                <w:sz w:val="16"/>
                <w:szCs w:val="16"/>
              </w:rPr>
            </w:pPr>
            <w:r>
              <w:rPr>
                <w:rFonts w:ascii="Cambria" w:hAnsi="Cambria"/>
                <w:sz w:val="16"/>
                <w:szCs w:val="16"/>
              </w:rPr>
              <w:t>Vigilancia epidemiológica</w:t>
            </w:r>
          </w:p>
        </w:tc>
      </w:tr>
      <w:tr w:rsidR="009C024F" w:rsidRPr="00950A2D" w:rsidTr="00A36AE0">
        <w:trPr>
          <w:trHeight w:val="583"/>
          <w:jc w:val="center"/>
        </w:trPr>
        <w:tc>
          <w:tcPr>
            <w:tcW w:w="2405" w:type="dxa"/>
            <w:gridSpan w:val="2"/>
            <w:shd w:val="clear" w:color="auto" w:fill="auto"/>
            <w:vAlign w:val="center"/>
            <w:hideMark/>
          </w:tcPr>
          <w:p w:rsidR="009C024F" w:rsidRPr="00950A2D" w:rsidRDefault="009C024F" w:rsidP="00A36AE0">
            <w:pPr>
              <w:pStyle w:val="Textocuadroneg"/>
              <w:rPr>
                <w:rFonts w:ascii="Cambria" w:hAnsi="Cambria"/>
                <w:sz w:val="16"/>
                <w:szCs w:val="16"/>
              </w:rPr>
            </w:pPr>
            <w:r w:rsidRPr="00950A2D">
              <w:rPr>
                <w:rFonts w:ascii="Cambria" w:hAnsi="Cambria"/>
                <w:sz w:val="16"/>
                <w:szCs w:val="16"/>
              </w:rPr>
              <w:t xml:space="preserve">Unidad Administrativa </w:t>
            </w:r>
            <w:r>
              <w:rPr>
                <w:rFonts w:ascii="Cambria" w:hAnsi="Cambria"/>
                <w:sz w:val="16"/>
                <w:szCs w:val="16"/>
              </w:rPr>
              <w:t>(UA)</w:t>
            </w:r>
          </w:p>
        </w:tc>
        <w:tc>
          <w:tcPr>
            <w:tcW w:w="6536" w:type="dxa"/>
            <w:gridSpan w:val="5"/>
            <w:shd w:val="clear" w:color="auto" w:fill="auto"/>
            <w:vAlign w:val="center"/>
            <w:hideMark/>
          </w:tcPr>
          <w:p w:rsidR="009C024F" w:rsidRPr="00950A2D" w:rsidRDefault="00B64D40" w:rsidP="00A36AE0">
            <w:pPr>
              <w:pStyle w:val="Textocuadro"/>
              <w:rPr>
                <w:rFonts w:ascii="Cambria" w:hAnsi="Cambria"/>
                <w:sz w:val="16"/>
                <w:szCs w:val="16"/>
                <w:highlight w:val="yellow"/>
                <w:lang w:val="es-MX"/>
              </w:rPr>
            </w:pPr>
            <w:r>
              <w:rPr>
                <w:rFonts w:ascii="Cambria" w:hAnsi="Cambria"/>
                <w:sz w:val="16"/>
                <w:szCs w:val="16"/>
                <w:lang w:val="es-MX"/>
              </w:rPr>
              <w:t>Secretaria de Salud</w:t>
            </w:r>
          </w:p>
        </w:tc>
      </w:tr>
      <w:tr w:rsidR="009C024F" w:rsidRPr="00950A2D" w:rsidTr="00A36AE0">
        <w:trPr>
          <w:trHeight w:val="317"/>
          <w:jc w:val="center"/>
        </w:trPr>
        <w:tc>
          <w:tcPr>
            <w:tcW w:w="2405" w:type="dxa"/>
            <w:gridSpan w:val="2"/>
            <w:vMerge w:val="restart"/>
            <w:shd w:val="clear" w:color="auto" w:fill="E7E6E6" w:themeFill="background2"/>
            <w:vAlign w:val="center"/>
          </w:tcPr>
          <w:p w:rsidR="009C024F" w:rsidRPr="00950A2D" w:rsidRDefault="009C024F" w:rsidP="00A36AE0">
            <w:pPr>
              <w:pStyle w:val="Textocuadroneg"/>
              <w:rPr>
                <w:rFonts w:ascii="Cambria" w:hAnsi="Cambria"/>
                <w:sz w:val="16"/>
                <w:szCs w:val="16"/>
              </w:rPr>
            </w:pPr>
            <w:r>
              <w:rPr>
                <w:rFonts w:ascii="Cambria" w:hAnsi="Cambria"/>
                <w:sz w:val="16"/>
                <w:szCs w:val="16"/>
              </w:rPr>
              <w:t>Instancia Evaluadora (IE)</w:t>
            </w:r>
          </w:p>
        </w:tc>
        <w:tc>
          <w:tcPr>
            <w:tcW w:w="2126" w:type="dxa"/>
            <w:shd w:val="clear" w:color="auto" w:fill="E7E6E6" w:themeFill="background2"/>
            <w:vAlign w:val="center"/>
          </w:tcPr>
          <w:p w:rsidR="009C024F" w:rsidRPr="003D254F" w:rsidRDefault="009C024F" w:rsidP="00A36AE0">
            <w:pPr>
              <w:pStyle w:val="Textocuadroneg"/>
              <w:rPr>
                <w:rFonts w:ascii="Cambria" w:hAnsi="Cambria"/>
                <w:sz w:val="16"/>
                <w:szCs w:val="16"/>
              </w:rPr>
            </w:pPr>
            <w:r w:rsidRPr="003D254F">
              <w:rPr>
                <w:rFonts w:ascii="Cambria" w:hAnsi="Cambria"/>
                <w:sz w:val="16"/>
                <w:szCs w:val="16"/>
              </w:rPr>
              <w:t xml:space="preserve">Denominación: </w:t>
            </w:r>
          </w:p>
        </w:tc>
        <w:tc>
          <w:tcPr>
            <w:tcW w:w="4410" w:type="dxa"/>
            <w:gridSpan w:val="4"/>
            <w:shd w:val="clear" w:color="auto" w:fill="E7E6E6" w:themeFill="background2"/>
            <w:vAlign w:val="center"/>
          </w:tcPr>
          <w:p w:rsidR="009C024F" w:rsidRPr="003D254F" w:rsidRDefault="00135E1D" w:rsidP="00A36AE0">
            <w:pPr>
              <w:pStyle w:val="Textocuadro"/>
              <w:spacing w:before="0"/>
            </w:pPr>
            <w:r>
              <w:rPr>
                <w:rFonts w:ascii="Cambria" w:hAnsi="Cambria"/>
                <w:sz w:val="16"/>
                <w:szCs w:val="16"/>
              </w:rPr>
              <w:t>Centro de Investigación en Políticas, Población y Salud.</w:t>
            </w:r>
          </w:p>
        </w:tc>
      </w:tr>
      <w:tr w:rsidR="009C024F" w:rsidRPr="00950A2D" w:rsidTr="00A36AE0">
        <w:trPr>
          <w:trHeight w:val="293"/>
          <w:jc w:val="center"/>
        </w:trPr>
        <w:tc>
          <w:tcPr>
            <w:tcW w:w="2405" w:type="dxa"/>
            <w:gridSpan w:val="2"/>
            <w:vMerge/>
            <w:shd w:val="clear" w:color="auto" w:fill="E7E6E6" w:themeFill="background2"/>
            <w:vAlign w:val="center"/>
          </w:tcPr>
          <w:p w:rsidR="009C024F" w:rsidRDefault="009C024F" w:rsidP="00A36AE0">
            <w:pPr>
              <w:pStyle w:val="Textocuadroneg"/>
              <w:rPr>
                <w:rFonts w:ascii="Cambria" w:hAnsi="Cambria"/>
                <w:sz w:val="16"/>
                <w:szCs w:val="16"/>
              </w:rPr>
            </w:pPr>
          </w:p>
        </w:tc>
        <w:tc>
          <w:tcPr>
            <w:tcW w:w="2126" w:type="dxa"/>
            <w:shd w:val="clear" w:color="auto" w:fill="E7E6E6" w:themeFill="background2"/>
            <w:vAlign w:val="center"/>
          </w:tcPr>
          <w:p w:rsidR="009C024F" w:rsidRPr="00950A2D" w:rsidRDefault="009C024F" w:rsidP="00A36AE0">
            <w:pPr>
              <w:pStyle w:val="Textocuadroneg"/>
              <w:rPr>
                <w:rFonts w:ascii="Cambria" w:hAnsi="Cambria"/>
                <w:sz w:val="16"/>
                <w:szCs w:val="16"/>
              </w:rPr>
            </w:pPr>
            <w:r>
              <w:rPr>
                <w:rFonts w:ascii="Cambria" w:hAnsi="Cambria"/>
                <w:sz w:val="16"/>
                <w:szCs w:val="16"/>
              </w:rPr>
              <w:t>Coordinador(a):</w:t>
            </w:r>
          </w:p>
        </w:tc>
        <w:tc>
          <w:tcPr>
            <w:tcW w:w="4410" w:type="dxa"/>
            <w:gridSpan w:val="4"/>
            <w:shd w:val="clear" w:color="auto" w:fill="E7E6E6" w:themeFill="background2"/>
            <w:vAlign w:val="center"/>
          </w:tcPr>
          <w:p w:rsidR="00135E1D" w:rsidRPr="00135E1D" w:rsidRDefault="00135E1D" w:rsidP="00135E1D">
            <w:pPr>
              <w:pStyle w:val="Textocuadro"/>
              <w:rPr>
                <w:rFonts w:ascii="Cambria" w:hAnsi="Cambria"/>
                <w:sz w:val="16"/>
                <w:szCs w:val="16"/>
                <w:lang w:val="es-MX"/>
              </w:rPr>
            </w:pPr>
            <w:r w:rsidRPr="00135E1D">
              <w:rPr>
                <w:rFonts w:ascii="Cambria" w:hAnsi="Cambria"/>
                <w:sz w:val="16"/>
                <w:szCs w:val="16"/>
                <w:lang w:val="es-MX"/>
              </w:rPr>
              <w:t>Mtra. Marcela Vázquez Coronado</w:t>
            </w:r>
          </w:p>
          <w:p w:rsidR="009C024F" w:rsidRPr="00950A2D" w:rsidRDefault="009C024F" w:rsidP="00A36AE0">
            <w:pPr>
              <w:pStyle w:val="Textocuadro"/>
              <w:spacing w:before="0"/>
              <w:rPr>
                <w:rFonts w:ascii="Cambria" w:hAnsi="Cambria"/>
                <w:sz w:val="16"/>
                <w:szCs w:val="16"/>
              </w:rPr>
            </w:pPr>
          </w:p>
        </w:tc>
      </w:tr>
      <w:tr w:rsidR="009C024F" w:rsidRPr="00950A2D" w:rsidTr="00A36AE0">
        <w:trPr>
          <w:trHeight w:val="397"/>
          <w:jc w:val="center"/>
        </w:trPr>
        <w:tc>
          <w:tcPr>
            <w:tcW w:w="2405" w:type="dxa"/>
            <w:gridSpan w:val="2"/>
            <w:vMerge/>
            <w:shd w:val="clear" w:color="auto" w:fill="E7E6E6" w:themeFill="background2"/>
            <w:vAlign w:val="center"/>
          </w:tcPr>
          <w:p w:rsidR="009C024F" w:rsidRDefault="009C024F" w:rsidP="00A36AE0">
            <w:pPr>
              <w:pStyle w:val="Textocuadroneg"/>
              <w:rPr>
                <w:rFonts w:ascii="Cambria" w:hAnsi="Cambria"/>
                <w:sz w:val="16"/>
                <w:szCs w:val="16"/>
              </w:rPr>
            </w:pPr>
          </w:p>
        </w:tc>
        <w:tc>
          <w:tcPr>
            <w:tcW w:w="2126" w:type="dxa"/>
            <w:shd w:val="clear" w:color="auto" w:fill="E7E6E6" w:themeFill="background2"/>
            <w:vAlign w:val="center"/>
          </w:tcPr>
          <w:p w:rsidR="009C024F" w:rsidRPr="00950A2D" w:rsidRDefault="009C024F" w:rsidP="00A36AE0">
            <w:pPr>
              <w:pStyle w:val="Textocuadroneg"/>
              <w:rPr>
                <w:rFonts w:ascii="Cambria" w:hAnsi="Cambria"/>
                <w:sz w:val="16"/>
                <w:szCs w:val="16"/>
              </w:rPr>
            </w:pPr>
            <w:r>
              <w:rPr>
                <w:rFonts w:ascii="Cambria" w:hAnsi="Cambria"/>
                <w:sz w:val="16"/>
                <w:szCs w:val="16"/>
              </w:rPr>
              <w:t>Colaboradores(as):</w:t>
            </w:r>
          </w:p>
        </w:tc>
        <w:tc>
          <w:tcPr>
            <w:tcW w:w="4410" w:type="dxa"/>
            <w:gridSpan w:val="4"/>
            <w:shd w:val="clear" w:color="auto" w:fill="E7E6E6" w:themeFill="background2"/>
            <w:vAlign w:val="center"/>
          </w:tcPr>
          <w:p w:rsidR="00135E1D" w:rsidRPr="00135E1D" w:rsidRDefault="00135E1D" w:rsidP="00135E1D">
            <w:pPr>
              <w:pStyle w:val="Textocuadro"/>
              <w:rPr>
                <w:rFonts w:ascii="Cambria" w:hAnsi="Cambria"/>
                <w:sz w:val="16"/>
                <w:szCs w:val="16"/>
                <w:lang w:val="es-MX"/>
              </w:rPr>
            </w:pPr>
            <w:r w:rsidRPr="00135E1D">
              <w:rPr>
                <w:rFonts w:ascii="Cambria" w:hAnsi="Cambria"/>
                <w:sz w:val="16"/>
                <w:szCs w:val="16"/>
                <w:lang w:val="es-MX"/>
              </w:rPr>
              <w:t>Mtro. Sergio Sesma Vázquez</w:t>
            </w:r>
          </w:p>
          <w:p w:rsidR="00135E1D" w:rsidRPr="00135E1D" w:rsidRDefault="00135E1D" w:rsidP="00135E1D">
            <w:pPr>
              <w:pStyle w:val="Textocuadro"/>
              <w:rPr>
                <w:rFonts w:ascii="Cambria" w:hAnsi="Cambria"/>
                <w:sz w:val="16"/>
                <w:szCs w:val="16"/>
                <w:lang w:val="es-MX"/>
              </w:rPr>
            </w:pPr>
            <w:r w:rsidRPr="00135E1D">
              <w:rPr>
                <w:rFonts w:ascii="Cambria" w:hAnsi="Cambria"/>
                <w:sz w:val="16"/>
                <w:szCs w:val="16"/>
                <w:lang w:val="es-MX"/>
              </w:rPr>
              <w:t>Dr. Juan Carlos Ramos</w:t>
            </w:r>
          </w:p>
          <w:p w:rsidR="009C024F" w:rsidRPr="00950A2D" w:rsidRDefault="009C024F" w:rsidP="00A36AE0">
            <w:pPr>
              <w:pStyle w:val="Textocuadro"/>
              <w:spacing w:before="0"/>
              <w:rPr>
                <w:rFonts w:ascii="Cambria" w:hAnsi="Cambria"/>
                <w:sz w:val="16"/>
                <w:szCs w:val="16"/>
              </w:rPr>
            </w:pPr>
          </w:p>
        </w:tc>
      </w:tr>
      <w:tr w:rsidR="009C024F" w:rsidRPr="00950A2D" w:rsidTr="00A36AE0">
        <w:trPr>
          <w:trHeight w:val="583"/>
          <w:jc w:val="center"/>
        </w:trPr>
        <w:tc>
          <w:tcPr>
            <w:tcW w:w="2405" w:type="dxa"/>
            <w:gridSpan w:val="2"/>
            <w:vMerge w:val="restart"/>
            <w:shd w:val="clear" w:color="auto" w:fill="auto"/>
            <w:vAlign w:val="center"/>
          </w:tcPr>
          <w:p w:rsidR="009C024F" w:rsidRPr="00683FE8" w:rsidRDefault="009C024F" w:rsidP="00A36AE0">
            <w:pPr>
              <w:pStyle w:val="Textocuadroneg"/>
              <w:rPr>
                <w:rFonts w:ascii="Cambria" w:hAnsi="Cambria"/>
                <w:sz w:val="16"/>
                <w:szCs w:val="16"/>
              </w:rPr>
            </w:pPr>
            <w:r w:rsidRPr="00683FE8">
              <w:rPr>
                <w:rFonts w:ascii="Cambria" w:hAnsi="Cambria"/>
                <w:sz w:val="16"/>
                <w:szCs w:val="16"/>
              </w:rPr>
              <w:t>Tipo de contratación:</w:t>
            </w:r>
          </w:p>
        </w:tc>
        <w:tc>
          <w:tcPr>
            <w:tcW w:w="2126" w:type="dxa"/>
            <w:vMerge w:val="restart"/>
            <w:shd w:val="clear" w:color="auto" w:fill="auto"/>
            <w:vAlign w:val="center"/>
          </w:tcPr>
          <w:p w:rsidR="009C024F" w:rsidRPr="00683FE8" w:rsidRDefault="00135E1D" w:rsidP="00A36AE0">
            <w:pPr>
              <w:pStyle w:val="Textocuadro"/>
              <w:spacing w:before="0"/>
              <w:rPr>
                <w:rFonts w:ascii="Cambria" w:hAnsi="Cambria"/>
                <w:sz w:val="16"/>
                <w:szCs w:val="16"/>
              </w:rPr>
            </w:pPr>
            <w:r w:rsidRPr="00135E1D">
              <w:rPr>
                <w:rFonts w:ascii="Cambria" w:hAnsi="Cambria"/>
                <w:sz w:val="16"/>
                <w:szCs w:val="16"/>
                <w:lang w:val="es-MX"/>
              </w:rPr>
              <w:t>Adjudicación Directa</w:t>
            </w:r>
            <w:r w:rsidR="00955F92">
              <w:rPr>
                <w:rFonts w:ascii="Cambria" w:hAnsi="Cambria"/>
                <w:sz w:val="16"/>
                <w:szCs w:val="16"/>
                <w:lang w:val="es-MX"/>
              </w:rPr>
              <w:t xml:space="preserve"> por Artículo 1 de la Ley de Adquisiciones, Arrendamientos y Servicios del Sector Público.</w:t>
            </w:r>
          </w:p>
        </w:tc>
        <w:tc>
          <w:tcPr>
            <w:tcW w:w="2144" w:type="dxa"/>
            <w:gridSpan w:val="2"/>
            <w:shd w:val="clear" w:color="auto" w:fill="auto"/>
            <w:vAlign w:val="center"/>
          </w:tcPr>
          <w:p w:rsidR="009C024F" w:rsidRPr="00683FE8" w:rsidRDefault="009C024F" w:rsidP="00A36AE0">
            <w:pPr>
              <w:pStyle w:val="Textocuadro"/>
              <w:spacing w:before="0"/>
              <w:rPr>
                <w:rFonts w:ascii="Cambria" w:hAnsi="Cambria"/>
                <w:b/>
                <w:sz w:val="16"/>
                <w:szCs w:val="16"/>
              </w:rPr>
            </w:pPr>
            <w:r w:rsidRPr="00683FE8">
              <w:rPr>
                <w:rFonts w:ascii="Cambria" w:hAnsi="Cambria"/>
                <w:b/>
                <w:sz w:val="16"/>
                <w:szCs w:val="16"/>
              </w:rPr>
              <w:t>Costo de la evaluación:</w:t>
            </w:r>
          </w:p>
        </w:tc>
        <w:tc>
          <w:tcPr>
            <w:tcW w:w="2266" w:type="dxa"/>
            <w:gridSpan w:val="2"/>
            <w:shd w:val="clear" w:color="auto" w:fill="auto"/>
            <w:vAlign w:val="center"/>
          </w:tcPr>
          <w:p w:rsidR="009C024F" w:rsidRPr="00683FE8" w:rsidRDefault="00D03FB0" w:rsidP="00A36AE0">
            <w:pPr>
              <w:pStyle w:val="Textocuadro"/>
              <w:spacing w:before="0"/>
              <w:rPr>
                <w:rFonts w:ascii="Cambria" w:hAnsi="Cambria"/>
                <w:sz w:val="16"/>
                <w:szCs w:val="16"/>
              </w:rPr>
            </w:pPr>
            <w:r>
              <w:rPr>
                <w:rFonts w:ascii="Cambria" w:hAnsi="Cambria"/>
                <w:sz w:val="16"/>
                <w:szCs w:val="16"/>
              </w:rPr>
              <w:t>350,000 pesos</w:t>
            </w:r>
          </w:p>
        </w:tc>
      </w:tr>
      <w:tr w:rsidR="009C024F" w:rsidRPr="00950A2D" w:rsidTr="00A36AE0">
        <w:trPr>
          <w:trHeight w:val="583"/>
          <w:jc w:val="center"/>
        </w:trPr>
        <w:tc>
          <w:tcPr>
            <w:tcW w:w="2405" w:type="dxa"/>
            <w:gridSpan w:val="2"/>
            <w:vMerge/>
            <w:shd w:val="clear" w:color="auto" w:fill="auto"/>
            <w:vAlign w:val="center"/>
          </w:tcPr>
          <w:p w:rsidR="009C024F" w:rsidRPr="00683FE8" w:rsidRDefault="009C024F" w:rsidP="00A36AE0">
            <w:pPr>
              <w:pStyle w:val="Textocuadroneg"/>
              <w:rPr>
                <w:rFonts w:ascii="Cambria" w:hAnsi="Cambria"/>
                <w:sz w:val="16"/>
                <w:szCs w:val="16"/>
              </w:rPr>
            </w:pPr>
          </w:p>
        </w:tc>
        <w:tc>
          <w:tcPr>
            <w:tcW w:w="2126" w:type="dxa"/>
            <w:vMerge/>
            <w:shd w:val="clear" w:color="auto" w:fill="auto"/>
            <w:vAlign w:val="center"/>
          </w:tcPr>
          <w:p w:rsidR="009C024F" w:rsidRPr="00683FE8" w:rsidRDefault="009C024F" w:rsidP="00A36AE0">
            <w:pPr>
              <w:pStyle w:val="Textocuadro"/>
              <w:spacing w:before="0"/>
              <w:rPr>
                <w:rFonts w:ascii="Cambria" w:hAnsi="Cambria"/>
                <w:sz w:val="16"/>
                <w:szCs w:val="16"/>
              </w:rPr>
            </w:pPr>
          </w:p>
        </w:tc>
        <w:tc>
          <w:tcPr>
            <w:tcW w:w="2144" w:type="dxa"/>
            <w:gridSpan w:val="2"/>
            <w:shd w:val="clear" w:color="auto" w:fill="auto"/>
            <w:vAlign w:val="center"/>
          </w:tcPr>
          <w:p w:rsidR="009C024F" w:rsidRPr="00683FE8" w:rsidRDefault="009C024F" w:rsidP="00A36AE0">
            <w:pPr>
              <w:pStyle w:val="Textocuadro"/>
              <w:spacing w:before="0"/>
              <w:rPr>
                <w:rFonts w:ascii="Cambria" w:hAnsi="Cambria"/>
                <w:b/>
                <w:sz w:val="16"/>
                <w:szCs w:val="16"/>
              </w:rPr>
            </w:pPr>
            <w:r w:rsidRPr="00683FE8">
              <w:rPr>
                <w:rFonts w:ascii="Cambria" w:hAnsi="Cambria"/>
                <w:b/>
                <w:sz w:val="16"/>
                <w:szCs w:val="16"/>
              </w:rPr>
              <w:t>Fuente de financiamiento:</w:t>
            </w:r>
          </w:p>
        </w:tc>
        <w:tc>
          <w:tcPr>
            <w:tcW w:w="2266" w:type="dxa"/>
            <w:gridSpan w:val="2"/>
            <w:shd w:val="clear" w:color="auto" w:fill="auto"/>
            <w:vAlign w:val="center"/>
          </w:tcPr>
          <w:p w:rsidR="009C024F" w:rsidRPr="00683FE8" w:rsidRDefault="00B64D40" w:rsidP="00A36AE0">
            <w:pPr>
              <w:pStyle w:val="Textocuadro"/>
              <w:spacing w:before="0"/>
              <w:rPr>
                <w:rFonts w:ascii="Cambria" w:hAnsi="Cambria"/>
                <w:sz w:val="16"/>
                <w:szCs w:val="16"/>
              </w:rPr>
            </w:pPr>
            <w:r>
              <w:rPr>
                <w:rFonts w:ascii="Cambria" w:hAnsi="Cambria"/>
                <w:sz w:val="16"/>
                <w:szCs w:val="16"/>
              </w:rPr>
              <w:t xml:space="preserve">Ramo 12 </w:t>
            </w:r>
            <w:proofErr w:type="spellStart"/>
            <w:r>
              <w:rPr>
                <w:rFonts w:ascii="Cambria" w:hAnsi="Cambria"/>
                <w:sz w:val="16"/>
                <w:szCs w:val="16"/>
              </w:rPr>
              <w:t>Pp</w:t>
            </w:r>
            <w:proofErr w:type="spellEnd"/>
            <w:r>
              <w:rPr>
                <w:rFonts w:ascii="Cambria" w:hAnsi="Cambria"/>
                <w:sz w:val="16"/>
                <w:szCs w:val="16"/>
              </w:rPr>
              <w:t xml:space="preserve"> U009</w:t>
            </w:r>
          </w:p>
        </w:tc>
      </w:tr>
      <w:tr w:rsidR="009C024F" w:rsidRPr="00950A2D" w:rsidTr="00A36AE0">
        <w:trPr>
          <w:trHeight w:val="583"/>
          <w:jc w:val="center"/>
        </w:trPr>
        <w:tc>
          <w:tcPr>
            <w:tcW w:w="2405" w:type="dxa"/>
            <w:gridSpan w:val="2"/>
            <w:shd w:val="clear" w:color="auto" w:fill="D9D9D9" w:themeFill="background1" w:themeFillShade="D9"/>
            <w:vAlign w:val="center"/>
          </w:tcPr>
          <w:p w:rsidR="009C024F" w:rsidRPr="00683FE8" w:rsidRDefault="009C024F" w:rsidP="00A36AE0">
            <w:pPr>
              <w:pStyle w:val="Textocuadroneg"/>
              <w:rPr>
                <w:rFonts w:ascii="Cambria" w:hAnsi="Cambria"/>
                <w:sz w:val="16"/>
                <w:szCs w:val="16"/>
              </w:rPr>
            </w:pPr>
            <w:r>
              <w:rPr>
                <w:rFonts w:ascii="Cambria" w:hAnsi="Cambria"/>
                <w:sz w:val="16"/>
                <w:szCs w:val="16"/>
              </w:rPr>
              <w:t>Instancia de coordinación de la evaluación:</w:t>
            </w:r>
          </w:p>
        </w:tc>
        <w:tc>
          <w:tcPr>
            <w:tcW w:w="6536" w:type="dxa"/>
            <w:gridSpan w:val="5"/>
            <w:shd w:val="clear" w:color="auto" w:fill="D9D9D9" w:themeFill="background1" w:themeFillShade="D9"/>
            <w:vAlign w:val="center"/>
          </w:tcPr>
          <w:p w:rsidR="009C024F" w:rsidRPr="00683FE8" w:rsidRDefault="00B64D40" w:rsidP="00A36AE0">
            <w:pPr>
              <w:pStyle w:val="Textocuadro"/>
              <w:spacing w:before="0"/>
              <w:rPr>
                <w:rFonts w:ascii="Cambria" w:hAnsi="Cambria"/>
                <w:sz w:val="16"/>
                <w:szCs w:val="16"/>
              </w:rPr>
            </w:pPr>
            <w:r>
              <w:rPr>
                <w:rFonts w:ascii="Cambria" w:hAnsi="Cambria"/>
                <w:sz w:val="16"/>
                <w:szCs w:val="16"/>
                <w:lang w:val="es-MX"/>
              </w:rPr>
              <w:t>CENAPRECE</w:t>
            </w:r>
          </w:p>
        </w:tc>
      </w:tr>
    </w:tbl>
    <w:p w:rsidR="009C024F" w:rsidRPr="00950A2D" w:rsidRDefault="009C024F" w:rsidP="009C024F">
      <w:pPr>
        <w:jc w:val="both"/>
        <w:rPr>
          <w:rFonts w:ascii="Cambria" w:hAnsi="Cambria"/>
        </w:rPr>
      </w:pPr>
    </w:p>
    <w:p w:rsidR="009C024F" w:rsidRPr="00950A2D" w:rsidRDefault="009C024F" w:rsidP="009C024F">
      <w:pPr>
        <w:pStyle w:val="Cdetextonegrita"/>
        <w:rPr>
          <w:rFonts w:ascii="Cambria" w:hAnsi="Cambria"/>
          <w:b w:val="0"/>
          <w:szCs w:val="22"/>
        </w:rPr>
      </w:pPr>
      <w:r w:rsidRPr="00950A2D">
        <w:rPr>
          <w:rFonts w:ascii="Cambria" w:hAnsi="Cambria"/>
          <w:szCs w:val="22"/>
        </w:rPr>
        <w:t>Descripción del Programa</w:t>
      </w:r>
      <w:r>
        <w:rPr>
          <w:rFonts w:ascii="Cambria" w:hAnsi="Cambria"/>
          <w:szCs w:val="22"/>
        </w:rPr>
        <w:t xml:space="preserve"> </w:t>
      </w:r>
    </w:p>
    <w:p w:rsidR="00D03FB0" w:rsidRPr="00D03FB0" w:rsidRDefault="00D03FB0" w:rsidP="00D03FB0">
      <w:pPr>
        <w:overflowPunct w:val="0"/>
        <w:autoSpaceDE w:val="0"/>
        <w:autoSpaceDN w:val="0"/>
        <w:adjustRightInd w:val="0"/>
        <w:jc w:val="both"/>
        <w:textAlignment w:val="baseline"/>
        <w:rPr>
          <w:rFonts w:ascii="Cambria" w:eastAsia="Times New Roman" w:hAnsi="Cambria" w:cs="Arial"/>
          <w:lang w:val="es-ES" w:eastAsia="es-ES"/>
        </w:rPr>
      </w:pPr>
      <w:r w:rsidRPr="00D03FB0">
        <w:rPr>
          <w:rFonts w:ascii="Cambria" w:eastAsia="Times New Roman" w:hAnsi="Cambria" w:cs="Arial"/>
          <w:lang w:val="es-ES" w:eastAsia="es-ES"/>
        </w:rPr>
        <w:t>El Programa presupuestario evaluado es el U009 “Vigilancia Epidemiológica” de la Secretaría de Salud para el Ejercicio Fiscal 2019, el cual inició su operación en 2008.</w:t>
      </w:r>
    </w:p>
    <w:p w:rsidR="00D03FB0" w:rsidRPr="00D03FB0" w:rsidRDefault="00D03FB0" w:rsidP="00D03FB0">
      <w:pPr>
        <w:overflowPunct w:val="0"/>
        <w:autoSpaceDE w:val="0"/>
        <w:autoSpaceDN w:val="0"/>
        <w:adjustRightInd w:val="0"/>
        <w:jc w:val="both"/>
        <w:textAlignment w:val="baseline"/>
        <w:rPr>
          <w:rFonts w:ascii="Cambria" w:eastAsia="Times New Roman" w:hAnsi="Cambria" w:cs="Arial"/>
          <w:lang w:val="es-ES" w:eastAsia="es-ES"/>
        </w:rPr>
      </w:pPr>
      <w:r w:rsidRPr="00D03FB0">
        <w:rPr>
          <w:rFonts w:ascii="Cambria" w:eastAsia="Times New Roman" w:hAnsi="Cambria" w:cs="Arial"/>
          <w:lang w:val="es-ES" w:eastAsia="es-ES"/>
        </w:rPr>
        <w:t xml:space="preserve">El objetivo del Programa consiste en consolidar las acciones de protección, promoción de la salud y prevención de enfermedades mediante la identificación temprana y control de riesgos, así como el ingreso a tratamiento oportuno y específico de casos nuevos de enfermedades infecciosas y transmisibles, sujetas a vigilancia epidemiológica, que están bajo responsabilidad del CENAPRECE y la Dirección General de Epidemiológica (DGE) como son: Tuberculosis, lepra, dengue, paludismo, </w:t>
      </w:r>
      <w:proofErr w:type="spellStart"/>
      <w:r w:rsidRPr="00D03FB0">
        <w:rPr>
          <w:rFonts w:ascii="Cambria" w:eastAsia="Times New Roman" w:hAnsi="Cambria" w:cs="Arial"/>
          <w:lang w:val="es-ES" w:eastAsia="es-ES"/>
        </w:rPr>
        <w:t>chagas</w:t>
      </w:r>
      <w:proofErr w:type="spellEnd"/>
      <w:r w:rsidRPr="00D03FB0">
        <w:rPr>
          <w:rFonts w:ascii="Cambria" w:eastAsia="Times New Roman" w:hAnsi="Cambria" w:cs="Arial"/>
          <w:lang w:val="es-ES" w:eastAsia="es-ES"/>
        </w:rPr>
        <w:t xml:space="preserve">, </w:t>
      </w:r>
      <w:proofErr w:type="spellStart"/>
      <w:r w:rsidRPr="00D03FB0">
        <w:rPr>
          <w:rFonts w:ascii="Cambria" w:eastAsia="Times New Roman" w:hAnsi="Cambria" w:cs="Arial"/>
          <w:lang w:val="es-ES" w:eastAsia="es-ES"/>
        </w:rPr>
        <w:t>leshmaniasis</w:t>
      </w:r>
      <w:proofErr w:type="spellEnd"/>
      <w:r w:rsidRPr="00D03FB0">
        <w:rPr>
          <w:rFonts w:ascii="Cambria" w:eastAsia="Times New Roman" w:hAnsi="Cambria" w:cs="Arial"/>
          <w:lang w:val="es-ES" w:eastAsia="es-ES"/>
        </w:rPr>
        <w:t xml:space="preserve">, picadura de alacrán, mordedura por perro y otras especies, en apoyo a las poblaciones de las 32 entidades federativas. </w:t>
      </w:r>
    </w:p>
    <w:p w:rsidR="009C024F" w:rsidRDefault="009C024F" w:rsidP="009C024F">
      <w:pPr>
        <w:pStyle w:val="Cdetexto"/>
        <w:rPr>
          <w:rFonts w:ascii="Cambria" w:hAnsi="Cambria"/>
          <w:szCs w:val="22"/>
        </w:rPr>
      </w:pPr>
    </w:p>
    <w:p w:rsidR="00135E1D" w:rsidRDefault="00135E1D" w:rsidP="009C024F">
      <w:pPr>
        <w:pStyle w:val="Cdetexto"/>
        <w:rPr>
          <w:rFonts w:ascii="Cambria" w:hAnsi="Cambria"/>
          <w:szCs w:val="22"/>
        </w:rPr>
      </w:pPr>
    </w:p>
    <w:p w:rsidR="009C024F" w:rsidRPr="00950A2D" w:rsidRDefault="009C024F" w:rsidP="009C024F">
      <w:pPr>
        <w:pStyle w:val="Cdetextonegrita"/>
        <w:rPr>
          <w:rFonts w:ascii="Cambria" w:hAnsi="Cambria"/>
          <w:b w:val="0"/>
          <w:szCs w:val="22"/>
        </w:rPr>
      </w:pPr>
      <w:r>
        <w:rPr>
          <w:rFonts w:ascii="Cambria" w:hAnsi="Cambria"/>
          <w:szCs w:val="22"/>
        </w:rPr>
        <w:lastRenderedPageBreak/>
        <w:t>Principales h</w:t>
      </w:r>
      <w:r w:rsidRPr="00950A2D">
        <w:rPr>
          <w:rFonts w:ascii="Cambria" w:hAnsi="Cambria"/>
          <w:szCs w:val="22"/>
        </w:rPr>
        <w:t>allazgos</w:t>
      </w:r>
      <w:r>
        <w:rPr>
          <w:rFonts w:ascii="Cambria" w:hAnsi="Cambria"/>
          <w:szCs w:val="22"/>
        </w:rPr>
        <w:t xml:space="preserve"> de la evaluación </w:t>
      </w:r>
    </w:p>
    <w:p w:rsidR="009C024F" w:rsidRDefault="00A1795D" w:rsidP="009C024F">
      <w:pPr>
        <w:pStyle w:val="Cdetexto"/>
        <w:rPr>
          <w:rFonts w:ascii="Cambria" w:hAnsi="Cambria"/>
          <w:szCs w:val="22"/>
        </w:rPr>
      </w:pPr>
      <w:r>
        <w:rPr>
          <w:rFonts w:ascii="Cambria" w:hAnsi="Cambria"/>
          <w:szCs w:val="22"/>
        </w:rPr>
        <w:t>Valoración final de 2.06</w:t>
      </w:r>
    </w:p>
    <w:p w:rsidR="00D61B1E" w:rsidRDefault="00D61B1E" w:rsidP="00701E2C">
      <w:pPr>
        <w:overflowPunct w:val="0"/>
        <w:autoSpaceDE w:val="0"/>
        <w:autoSpaceDN w:val="0"/>
        <w:adjustRightInd w:val="0"/>
        <w:jc w:val="both"/>
        <w:textAlignment w:val="baseline"/>
        <w:rPr>
          <w:rFonts w:ascii="Cambria" w:eastAsia="Times New Roman" w:hAnsi="Cambria" w:cs="Arial"/>
          <w:lang w:val="es-ES" w:eastAsia="es-ES"/>
        </w:rPr>
      </w:pPr>
      <w:r>
        <w:rPr>
          <w:rFonts w:ascii="Cambria" w:eastAsia="Times New Roman" w:hAnsi="Cambria" w:cs="Arial"/>
          <w:lang w:val="es-ES" w:eastAsia="es-ES"/>
        </w:rPr>
        <w:t>N</w:t>
      </w:r>
      <w:r w:rsidR="00A1795D" w:rsidRPr="00A1795D">
        <w:rPr>
          <w:rFonts w:ascii="Cambria" w:eastAsia="Times New Roman" w:hAnsi="Cambria" w:cs="Arial"/>
          <w:lang w:val="es-ES" w:eastAsia="es-ES"/>
        </w:rPr>
        <w:t>o cuenta con un documento normativo robusto que permita valorar su buen diseño des</w:t>
      </w:r>
      <w:r w:rsidR="00701E2C">
        <w:rPr>
          <w:rFonts w:ascii="Cambria" w:eastAsia="Times New Roman" w:hAnsi="Cambria" w:cs="Arial"/>
          <w:lang w:val="es-ES" w:eastAsia="es-ES"/>
        </w:rPr>
        <w:t>de el punto de vista documental, siendo la</w:t>
      </w:r>
      <w:r w:rsidR="00A1795D" w:rsidRPr="00701E2C">
        <w:rPr>
          <w:rFonts w:ascii="Cambria" w:eastAsia="Times New Roman" w:hAnsi="Cambria" w:cs="Arial"/>
          <w:lang w:val="es-ES" w:eastAsia="es-ES"/>
        </w:rPr>
        <w:t xml:space="preserve"> principal debilidad del programa.</w:t>
      </w:r>
      <w:r w:rsidR="00701E2C">
        <w:rPr>
          <w:rFonts w:ascii="Cambria" w:eastAsia="Times New Roman" w:hAnsi="Cambria" w:cs="Arial"/>
          <w:lang w:val="es-ES" w:eastAsia="es-ES"/>
        </w:rPr>
        <w:t xml:space="preserve"> </w:t>
      </w:r>
    </w:p>
    <w:p w:rsidR="00A1795D" w:rsidRDefault="00A1795D" w:rsidP="00701E2C">
      <w:pPr>
        <w:overflowPunct w:val="0"/>
        <w:autoSpaceDE w:val="0"/>
        <w:autoSpaceDN w:val="0"/>
        <w:adjustRightInd w:val="0"/>
        <w:jc w:val="both"/>
        <w:textAlignment w:val="baseline"/>
        <w:rPr>
          <w:rFonts w:ascii="Cambria" w:eastAsia="Times New Roman" w:hAnsi="Cambria" w:cs="Arial"/>
          <w:lang w:val="es-ES" w:eastAsia="es-ES"/>
        </w:rPr>
      </w:pPr>
      <w:r w:rsidRPr="00701E2C">
        <w:rPr>
          <w:rFonts w:ascii="Cambria" w:eastAsia="Times New Roman" w:hAnsi="Cambria" w:cs="Arial"/>
          <w:lang w:val="es-ES" w:eastAsia="es-ES"/>
        </w:rPr>
        <w:t xml:space="preserve">El Programa, no tiene documentados </w:t>
      </w:r>
      <w:r w:rsidR="00D61B1E">
        <w:rPr>
          <w:rFonts w:ascii="Cambria" w:eastAsia="Times New Roman" w:hAnsi="Cambria" w:cs="Arial"/>
          <w:lang w:val="es-ES" w:eastAsia="es-ES"/>
        </w:rPr>
        <w:t>los procedimientos de operación</w:t>
      </w:r>
      <w:r w:rsidR="00701E2C">
        <w:rPr>
          <w:rFonts w:ascii="Cambria" w:eastAsia="Times New Roman" w:hAnsi="Cambria" w:cs="Arial"/>
          <w:lang w:val="es-ES" w:eastAsia="es-ES"/>
        </w:rPr>
        <w:t>.</w:t>
      </w:r>
    </w:p>
    <w:p w:rsidR="00701E2C" w:rsidRDefault="00D61B1E" w:rsidP="00701E2C">
      <w:pPr>
        <w:overflowPunct w:val="0"/>
        <w:autoSpaceDE w:val="0"/>
        <w:autoSpaceDN w:val="0"/>
        <w:adjustRightInd w:val="0"/>
        <w:jc w:val="both"/>
        <w:textAlignment w:val="baseline"/>
        <w:rPr>
          <w:rFonts w:ascii="Cambria" w:eastAsia="Times New Roman" w:hAnsi="Cambria" w:cs="Arial"/>
          <w:lang w:val="es-ES" w:eastAsia="es-ES"/>
        </w:rPr>
      </w:pPr>
      <w:r>
        <w:rPr>
          <w:rFonts w:ascii="Cambria" w:eastAsia="Times New Roman" w:hAnsi="Cambria" w:cs="Arial"/>
          <w:lang w:val="es-ES" w:eastAsia="es-ES"/>
        </w:rPr>
        <w:t>S</w:t>
      </w:r>
      <w:r w:rsidR="00701E2C" w:rsidRPr="00701E2C">
        <w:rPr>
          <w:rFonts w:ascii="Cambria" w:eastAsia="Times New Roman" w:hAnsi="Cambria" w:cs="Arial"/>
          <w:lang w:val="es-ES" w:eastAsia="es-ES"/>
        </w:rPr>
        <w:t>e cumplieron las metas de todos los indicadores</w:t>
      </w:r>
      <w:r>
        <w:rPr>
          <w:rFonts w:ascii="Cambria" w:eastAsia="Times New Roman" w:hAnsi="Cambria" w:cs="Arial"/>
          <w:lang w:val="es-ES" w:eastAsia="es-ES"/>
        </w:rPr>
        <w:t xml:space="preserve">, </w:t>
      </w:r>
      <w:r w:rsidR="00701E2C" w:rsidRPr="00701E2C">
        <w:rPr>
          <w:rFonts w:ascii="Cambria" w:eastAsia="Times New Roman" w:hAnsi="Cambria" w:cs="Arial"/>
          <w:lang w:val="es-ES" w:eastAsia="es-ES"/>
        </w:rPr>
        <w:t xml:space="preserve">en algunos, la meta se quedó muy por debajo de lo logrado, lo que sugiere posibles errores de planeación. </w:t>
      </w:r>
    </w:p>
    <w:p w:rsidR="00701E2C" w:rsidRDefault="00701E2C" w:rsidP="00701E2C">
      <w:pPr>
        <w:overflowPunct w:val="0"/>
        <w:autoSpaceDE w:val="0"/>
        <w:autoSpaceDN w:val="0"/>
        <w:adjustRightInd w:val="0"/>
        <w:jc w:val="both"/>
        <w:textAlignment w:val="baseline"/>
        <w:rPr>
          <w:rFonts w:ascii="Cambria" w:eastAsia="Times New Roman" w:hAnsi="Cambria" w:cs="Arial"/>
          <w:lang w:val="es-ES" w:eastAsia="es-ES"/>
        </w:rPr>
      </w:pPr>
      <w:r w:rsidRPr="00701E2C">
        <w:rPr>
          <w:rFonts w:ascii="Cambria" w:eastAsia="Times New Roman" w:hAnsi="Cambria" w:cs="Arial"/>
          <w:lang w:val="es-ES" w:eastAsia="es-ES"/>
        </w:rPr>
        <w:t>El Programa es operado por d</w:t>
      </w:r>
      <w:r w:rsidR="00D61B1E">
        <w:rPr>
          <w:rFonts w:ascii="Cambria" w:eastAsia="Times New Roman" w:hAnsi="Cambria" w:cs="Arial"/>
          <w:lang w:val="es-ES" w:eastAsia="es-ES"/>
        </w:rPr>
        <w:t>os Unidades Administrativas</w:t>
      </w:r>
      <w:r w:rsidRPr="00701E2C">
        <w:rPr>
          <w:rFonts w:ascii="Cambria" w:eastAsia="Times New Roman" w:hAnsi="Cambria" w:cs="Arial"/>
          <w:lang w:val="es-ES" w:eastAsia="es-ES"/>
        </w:rPr>
        <w:t>, CENAPRE</w:t>
      </w:r>
      <w:r w:rsidR="00D61B1E">
        <w:rPr>
          <w:rFonts w:ascii="Cambria" w:eastAsia="Times New Roman" w:hAnsi="Cambria" w:cs="Arial"/>
          <w:lang w:val="es-ES" w:eastAsia="es-ES"/>
        </w:rPr>
        <w:t xml:space="preserve">CE y el </w:t>
      </w:r>
      <w:proofErr w:type="spellStart"/>
      <w:r w:rsidR="00D61B1E">
        <w:rPr>
          <w:rFonts w:ascii="Cambria" w:eastAsia="Times New Roman" w:hAnsi="Cambria" w:cs="Arial"/>
          <w:lang w:val="es-ES" w:eastAsia="es-ES"/>
        </w:rPr>
        <w:t>InDRE</w:t>
      </w:r>
      <w:proofErr w:type="spellEnd"/>
      <w:r w:rsidR="00D61B1E">
        <w:rPr>
          <w:rFonts w:ascii="Cambria" w:eastAsia="Times New Roman" w:hAnsi="Cambria" w:cs="Arial"/>
          <w:lang w:val="es-ES" w:eastAsia="es-ES"/>
        </w:rPr>
        <w:t>, ti</w:t>
      </w:r>
      <w:r w:rsidRPr="00701E2C">
        <w:rPr>
          <w:rFonts w:ascii="Cambria" w:eastAsia="Times New Roman" w:hAnsi="Cambria" w:cs="Arial"/>
          <w:lang w:val="es-ES" w:eastAsia="es-ES"/>
        </w:rPr>
        <w:t>enen comunicación con sus beneficiarios, con los cuales elaboran conjuntamente diagnósticos situacionales, considerando el perfil epidemiológico o de necesidades de salud de la población, y</w:t>
      </w:r>
      <w:r w:rsidR="00D61B1E">
        <w:rPr>
          <w:rFonts w:ascii="Cambria" w:eastAsia="Times New Roman" w:hAnsi="Cambria" w:cs="Arial"/>
          <w:lang w:val="es-ES" w:eastAsia="es-ES"/>
        </w:rPr>
        <w:t xml:space="preserve"> Planes Anuales de Trabajo</w:t>
      </w:r>
      <w:r>
        <w:rPr>
          <w:rFonts w:ascii="Cambria" w:eastAsia="Times New Roman" w:hAnsi="Cambria" w:cs="Arial"/>
          <w:lang w:val="es-ES" w:eastAsia="es-ES"/>
        </w:rPr>
        <w:t>.</w:t>
      </w:r>
    </w:p>
    <w:p w:rsidR="00701E2C" w:rsidRDefault="00701E2C" w:rsidP="00701E2C">
      <w:pPr>
        <w:overflowPunct w:val="0"/>
        <w:autoSpaceDE w:val="0"/>
        <w:autoSpaceDN w:val="0"/>
        <w:adjustRightInd w:val="0"/>
        <w:jc w:val="both"/>
        <w:textAlignment w:val="baseline"/>
        <w:rPr>
          <w:rFonts w:ascii="Cambria" w:eastAsia="Times New Roman" w:hAnsi="Cambria" w:cs="Arial"/>
          <w:lang w:val="es-ES" w:eastAsia="es-ES"/>
        </w:rPr>
      </w:pPr>
      <w:r w:rsidRPr="00701E2C">
        <w:rPr>
          <w:rFonts w:ascii="Cambria" w:eastAsia="Times New Roman" w:hAnsi="Cambria" w:cs="Arial"/>
          <w:lang w:val="es-ES" w:eastAsia="es-ES"/>
        </w:rPr>
        <w:t>El Sistema Integral de Administración de Fondos para el Fortalecimiento de Acciones para Salud Públi</w:t>
      </w:r>
      <w:r w:rsidR="00D61B1E">
        <w:rPr>
          <w:rFonts w:ascii="Cambria" w:eastAsia="Times New Roman" w:hAnsi="Cambria" w:cs="Arial"/>
          <w:lang w:val="es-ES" w:eastAsia="es-ES"/>
        </w:rPr>
        <w:t>ca en las Entidades Federativas</w:t>
      </w:r>
      <w:r w:rsidRPr="00701E2C">
        <w:rPr>
          <w:rFonts w:ascii="Cambria" w:eastAsia="Times New Roman" w:hAnsi="Cambria" w:cs="Arial"/>
          <w:lang w:val="es-ES" w:eastAsia="es-ES"/>
        </w:rPr>
        <w:t xml:space="preserve"> es la plataforma creada para realizar el control, vigilancia, supervisión, seguimiento y evaluación de los recursos presupuestarios federales ministrados a las entidades federativas.</w:t>
      </w:r>
    </w:p>
    <w:p w:rsidR="009C024F" w:rsidRPr="00950A2D" w:rsidRDefault="009C024F" w:rsidP="009C024F">
      <w:pPr>
        <w:pStyle w:val="Cdetextonegrita"/>
        <w:rPr>
          <w:rFonts w:ascii="Cambria" w:hAnsi="Cambria"/>
          <w:b w:val="0"/>
          <w:szCs w:val="22"/>
        </w:rPr>
      </w:pPr>
      <w:r>
        <w:rPr>
          <w:rFonts w:ascii="Cambria" w:hAnsi="Cambria"/>
          <w:szCs w:val="22"/>
        </w:rPr>
        <w:t>Principales r</w:t>
      </w:r>
      <w:r w:rsidRPr="00950A2D">
        <w:rPr>
          <w:rFonts w:ascii="Cambria" w:hAnsi="Cambria"/>
          <w:szCs w:val="22"/>
        </w:rPr>
        <w:t>ecomendaciones</w:t>
      </w:r>
      <w:r>
        <w:rPr>
          <w:rFonts w:ascii="Cambria" w:hAnsi="Cambria"/>
          <w:szCs w:val="22"/>
        </w:rPr>
        <w:t xml:space="preserve"> de la evaluación </w:t>
      </w:r>
    </w:p>
    <w:p w:rsidR="001F5DBD" w:rsidRPr="008203D7" w:rsidRDefault="008203D7" w:rsidP="008203D7">
      <w:pPr>
        <w:pStyle w:val="Cdetexto"/>
        <w:numPr>
          <w:ilvl w:val="0"/>
          <w:numId w:val="2"/>
        </w:numPr>
        <w:rPr>
          <w:rFonts w:ascii="Cambria" w:hAnsi="Cambria"/>
          <w:szCs w:val="22"/>
        </w:rPr>
      </w:pPr>
      <w:r w:rsidRPr="008203D7">
        <w:rPr>
          <w:rFonts w:ascii="Cambria" w:hAnsi="Cambria"/>
          <w:szCs w:val="22"/>
        </w:rPr>
        <w:t>Analizar</w:t>
      </w:r>
      <w:r w:rsidR="001F5DBD" w:rsidRPr="008203D7">
        <w:rPr>
          <w:rFonts w:ascii="Cambria" w:hAnsi="Cambria"/>
          <w:szCs w:val="22"/>
        </w:rPr>
        <w:t xml:space="preserve"> redefinir sus poblaciones.</w:t>
      </w:r>
    </w:p>
    <w:p w:rsidR="008203D7" w:rsidRPr="008203D7" w:rsidRDefault="008203D7" w:rsidP="008203D7">
      <w:pPr>
        <w:pStyle w:val="Cdetexto"/>
        <w:numPr>
          <w:ilvl w:val="0"/>
          <w:numId w:val="2"/>
        </w:numPr>
        <w:rPr>
          <w:rFonts w:ascii="Cambria" w:hAnsi="Cambria"/>
          <w:szCs w:val="22"/>
        </w:rPr>
      </w:pPr>
      <w:r w:rsidRPr="008203D7">
        <w:rPr>
          <w:rFonts w:ascii="Cambria" w:hAnsi="Cambria"/>
          <w:szCs w:val="22"/>
        </w:rPr>
        <w:t>Realizar un diagnóstico apegado a los “Aspectos a considerar para la elaboración del diagnóstico de los programas presupuestarios de nueva creación o con cambios sustanciales que se propongan incluir en la Estructura Programática del Presupuestos de Egresos de la Federación”.</w:t>
      </w:r>
    </w:p>
    <w:p w:rsidR="008203D7" w:rsidRPr="008203D7" w:rsidRDefault="008203D7" w:rsidP="008203D7">
      <w:pPr>
        <w:pStyle w:val="Cdetexto"/>
        <w:numPr>
          <w:ilvl w:val="0"/>
          <w:numId w:val="2"/>
        </w:numPr>
        <w:rPr>
          <w:rFonts w:ascii="Cambria" w:hAnsi="Cambria"/>
          <w:szCs w:val="22"/>
        </w:rPr>
      </w:pPr>
      <w:r>
        <w:rPr>
          <w:rFonts w:ascii="Cambria" w:hAnsi="Cambria"/>
          <w:szCs w:val="22"/>
        </w:rPr>
        <w:t xml:space="preserve">Evaluar la inclusión </w:t>
      </w:r>
      <w:r w:rsidR="00F91535">
        <w:rPr>
          <w:rFonts w:ascii="Cambria" w:hAnsi="Cambria"/>
          <w:szCs w:val="22"/>
        </w:rPr>
        <w:t>d</w:t>
      </w:r>
      <w:r w:rsidRPr="008203D7">
        <w:rPr>
          <w:rFonts w:ascii="Cambria" w:hAnsi="Cambria"/>
          <w:szCs w:val="22"/>
        </w:rPr>
        <w:t>el indicador “Incidencia de Dengue”, ya que forma de las Metas para el Bienestar establecido en el PROSESA 2020-2024.</w:t>
      </w:r>
    </w:p>
    <w:p w:rsidR="001F5DBD" w:rsidRDefault="008203D7" w:rsidP="008203D7">
      <w:pPr>
        <w:pStyle w:val="Cdetexto"/>
        <w:numPr>
          <w:ilvl w:val="0"/>
          <w:numId w:val="2"/>
        </w:numPr>
        <w:rPr>
          <w:rFonts w:ascii="Cambria" w:hAnsi="Cambria"/>
          <w:szCs w:val="22"/>
        </w:rPr>
      </w:pPr>
      <w:r w:rsidRPr="008203D7">
        <w:rPr>
          <w:rFonts w:ascii="Cambria" w:hAnsi="Cambria"/>
          <w:szCs w:val="22"/>
        </w:rPr>
        <w:t>Realizar las gestiones pertinentes para avanzar en el cumplimiento de los ASM.</w:t>
      </w:r>
    </w:p>
    <w:p w:rsidR="001F5DBD" w:rsidRPr="008203D7" w:rsidRDefault="008203D7" w:rsidP="008203D7">
      <w:pPr>
        <w:pStyle w:val="Cdetexto"/>
        <w:numPr>
          <w:ilvl w:val="0"/>
          <w:numId w:val="2"/>
        </w:numPr>
        <w:rPr>
          <w:rFonts w:ascii="Cambria" w:hAnsi="Cambria"/>
          <w:szCs w:val="22"/>
        </w:rPr>
      </w:pPr>
      <w:r>
        <w:rPr>
          <w:rFonts w:ascii="Cambria" w:hAnsi="Cambria"/>
          <w:szCs w:val="22"/>
        </w:rPr>
        <w:t>Establecer</w:t>
      </w:r>
      <w:r w:rsidRPr="008203D7">
        <w:rPr>
          <w:rFonts w:ascii="Cambria" w:hAnsi="Cambria"/>
          <w:szCs w:val="22"/>
        </w:rPr>
        <w:t xml:space="preserve"> mecanismos para mejorar la planeación del programa para evitar rebasar las metas máximas del 100%.</w:t>
      </w:r>
    </w:p>
    <w:p w:rsidR="008203D7" w:rsidRPr="008203D7" w:rsidRDefault="008203D7" w:rsidP="008203D7">
      <w:pPr>
        <w:pStyle w:val="Prrafodelista"/>
        <w:numPr>
          <w:ilvl w:val="0"/>
          <w:numId w:val="2"/>
        </w:numPr>
        <w:spacing w:after="0" w:line="240" w:lineRule="auto"/>
        <w:jc w:val="both"/>
        <w:rPr>
          <w:rFonts w:ascii="Cambria" w:eastAsia="Times New Roman" w:hAnsi="Cambria" w:cs="Arial"/>
          <w:lang w:val="es-ES" w:eastAsia="es-ES"/>
        </w:rPr>
      </w:pPr>
      <w:r w:rsidRPr="008203D7">
        <w:rPr>
          <w:rFonts w:ascii="Cambria" w:eastAsia="Times New Roman" w:hAnsi="Cambria" w:cs="Arial"/>
          <w:lang w:val="es-ES" w:eastAsia="es-ES"/>
        </w:rPr>
        <w:t>Elaborar un Manual de Procedimien</w:t>
      </w:r>
      <w:r w:rsidR="00042B4D">
        <w:rPr>
          <w:rFonts w:ascii="Cambria" w:eastAsia="Times New Roman" w:hAnsi="Cambria" w:cs="Arial"/>
          <w:lang w:val="es-ES" w:eastAsia="es-ES"/>
        </w:rPr>
        <w:t>tos específico del Programa</w:t>
      </w:r>
      <w:r w:rsidRPr="008203D7">
        <w:rPr>
          <w:rFonts w:ascii="Cambria" w:eastAsia="Times New Roman" w:hAnsi="Cambria" w:cs="Arial"/>
          <w:lang w:val="es-ES" w:eastAsia="es-ES"/>
        </w:rPr>
        <w:t>.</w:t>
      </w:r>
    </w:p>
    <w:p w:rsidR="008203D7" w:rsidRPr="008203D7" w:rsidRDefault="008203D7" w:rsidP="008203D7">
      <w:pPr>
        <w:spacing w:after="0" w:line="240" w:lineRule="auto"/>
        <w:jc w:val="both"/>
        <w:rPr>
          <w:rFonts w:ascii="Cambria" w:eastAsia="Times New Roman" w:hAnsi="Cambria" w:cs="Arial"/>
          <w:lang w:val="es-ES" w:eastAsia="es-ES"/>
        </w:rPr>
      </w:pPr>
    </w:p>
    <w:p w:rsidR="008203D7" w:rsidRPr="008203D7" w:rsidRDefault="008203D7" w:rsidP="008203D7">
      <w:pPr>
        <w:pStyle w:val="Cdetexto"/>
        <w:numPr>
          <w:ilvl w:val="0"/>
          <w:numId w:val="2"/>
        </w:numPr>
        <w:rPr>
          <w:rFonts w:ascii="Cambria" w:hAnsi="Cambria"/>
          <w:szCs w:val="22"/>
        </w:rPr>
      </w:pPr>
      <w:r>
        <w:rPr>
          <w:rFonts w:ascii="Cambria" w:hAnsi="Cambria"/>
          <w:szCs w:val="22"/>
        </w:rPr>
        <w:t>D</w:t>
      </w:r>
      <w:r w:rsidRPr="008203D7">
        <w:rPr>
          <w:rFonts w:ascii="Cambria" w:hAnsi="Cambria"/>
          <w:szCs w:val="22"/>
        </w:rPr>
        <w:t>iseñar un procedimiento específico para la elaboración del diagnóstico situacional.</w:t>
      </w:r>
    </w:p>
    <w:p w:rsidR="008203D7" w:rsidRDefault="008203D7" w:rsidP="008203D7">
      <w:pPr>
        <w:pStyle w:val="Cdetexto"/>
        <w:numPr>
          <w:ilvl w:val="0"/>
          <w:numId w:val="2"/>
        </w:numPr>
        <w:rPr>
          <w:rFonts w:ascii="Cambria" w:hAnsi="Cambria"/>
          <w:szCs w:val="22"/>
        </w:rPr>
      </w:pPr>
      <w:r>
        <w:rPr>
          <w:rFonts w:ascii="Cambria" w:hAnsi="Cambria"/>
          <w:szCs w:val="22"/>
        </w:rPr>
        <w:t>A</w:t>
      </w:r>
      <w:r w:rsidRPr="008203D7">
        <w:rPr>
          <w:rFonts w:ascii="Cambria" w:hAnsi="Cambria"/>
          <w:szCs w:val="22"/>
        </w:rPr>
        <w:t xml:space="preserve">nalizar con la Secretaría de Hacienda y Crédito Público la posibilidad de adelantar </w:t>
      </w:r>
      <w:r>
        <w:rPr>
          <w:rFonts w:ascii="Cambria" w:hAnsi="Cambria"/>
          <w:szCs w:val="22"/>
        </w:rPr>
        <w:t xml:space="preserve">el calendario de ministraciones, </w:t>
      </w:r>
      <w:r w:rsidR="00042B4D">
        <w:rPr>
          <w:rFonts w:ascii="Cambria" w:hAnsi="Cambria"/>
          <w:szCs w:val="22"/>
        </w:rPr>
        <w:t>es un</w:t>
      </w:r>
      <w:r w:rsidRPr="008203D7">
        <w:rPr>
          <w:rFonts w:ascii="Cambria" w:hAnsi="Cambria"/>
          <w:szCs w:val="22"/>
        </w:rPr>
        <w:t xml:space="preserve"> Programa asociad</w:t>
      </w:r>
      <w:r>
        <w:rPr>
          <w:rFonts w:ascii="Cambria" w:hAnsi="Cambria"/>
          <w:szCs w:val="22"/>
        </w:rPr>
        <w:t>o con la Seguridad Nacional.</w:t>
      </w:r>
    </w:p>
    <w:p w:rsidR="008203D7" w:rsidRDefault="008203D7" w:rsidP="009C024F">
      <w:pPr>
        <w:pStyle w:val="Cdetexto"/>
        <w:rPr>
          <w:rFonts w:ascii="Cambria" w:hAnsi="Cambria"/>
          <w:szCs w:val="22"/>
        </w:rPr>
      </w:pPr>
    </w:p>
    <w:p w:rsidR="009C024F" w:rsidRDefault="009C024F" w:rsidP="009C024F">
      <w:pPr>
        <w:pStyle w:val="Cdetextonegrita"/>
        <w:rPr>
          <w:rFonts w:ascii="Cambria" w:hAnsi="Cambria"/>
          <w:szCs w:val="22"/>
        </w:rPr>
      </w:pPr>
      <w:r w:rsidRPr="00950A2D">
        <w:rPr>
          <w:rFonts w:ascii="Cambria" w:hAnsi="Cambria"/>
          <w:szCs w:val="22"/>
        </w:rPr>
        <w:t>Recomendaciones</w:t>
      </w:r>
      <w:r>
        <w:rPr>
          <w:rFonts w:ascii="Cambria" w:hAnsi="Cambria"/>
          <w:szCs w:val="22"/>
        </w:rPr>
        <w:t xml:space="preserve"> para el proceso de programación y presupuestación </w:t>
      </w:r>
    </w:p>
    <w:p w:rsidR="00D61B1E" w:rsidRDefault="00D61B1E" w:rsidP="009C024F">
      <w:pPr>
        <w:pStyle w:val="Cdetextonegrita"/>
        <w:rPr>
          <w:rFonts w:ascii="Cambria" w:hAnsi="Cambria"/>
          <w:b w:val="0"/>
          <w:i/>
          <w:szCs w:val="22"/>
        </w:rPr>
      </w:pPr>
    </w:p>
    <w:p w:rsidR="00D61B1E" w:rsidRDefault="00D61B1E" w:rsidP="00D61B1E">
      <w:pPr>
        <w:pStyle w:val="Cdetexto"/>
        <w:numPr>
          <w:ilvl w:val="0"/>
          <w:numId w:val="2"/>
        </w:numPr>
        <w:rPr>
          <w:rFonts w:ascii="Cambria" w:hAnsi="Cambria"/>
          <w:szCs w:val="22"/>
        </w:rPr>
      </w:pPr>
      <w:r w:rsidRPr="008203D7">
        <w:rPr>
          <w:rFonts w:ascii="Cambria" w:hAnsi="Cambria"/>
          <w:szCs w:val="22"/>
        </w:rPr>
        <w:t>Realizar un diagnóstico apegado a los “Aspectos a considerar para la elaboración del diagnóstico de los programas presupuestarios de nueva creación o con cambios sustanciales que se propongan incluir en la Estructura Programática del Presupuestos de Egresos de la Federación”</w:t>
      </w:r>
      <w:r w:rsidR="00A20425">
        <w:rPr>
          <w:rFonts w:ascii="Cambria" w:hAnsi="Cambria"/>
          <w:szCs w:val="22"/>
        </w:rPr>
        <w:t>.</w:t>
      </w:r>
    </w:p>
    <w:p w:rsidR="00D61B1E" w:rsidRPr="008203D7" w:rsidRDefault="00D61B1E" w:rsidP="00D61B1E">
      <w:pPr>
        <w:pStyle w:val="Cdetexto"/>
        <w:numPr>
          <w:ilvl w:val="0"/>
          <w:numId w:val="2"/>
        </w:numPr>
        <w:rPr>
          <w:rFonts w:ascii="Cambria" w:hAnsi="Cambria"/>
          <w:szCs w:val="22"/>
        </w:rPr>
      </w:pPr>
      <w:r>
        <w:rPr>
          <w:rFonts w:ascii="Cambria" w:hAnsi="Cambria"/>
          <w:szCs w:val="22"/>
        </w:rPr>
        <w:lastRenderedPageBreak/>
        <w:t>D</w:t>
      </w:r>
      <w:r w:rsidRPr="008203D7">
        <w:rPr>
          <w:rFonts w:ascii="Cambria" w:hAnsi="Cambria"/>
          <w:szCs w:val="22"/>
        </w:rPr>
        <w:t>iseñar un procedimiento específico para la elaboración del diagnóstico situacional.</w:t>
      </w:r>
    </w:p>
    <w:p w:rsidR="00D61B1E" w:rsidRDefault="00D61B1E" w:rsidP="00D61B1E">
      <w:pPr>
        <w:pStyle w:val="Cdetexto"/>
        <w:numPr>
          <w:ilvl w:val="0"/>
          <w:numId w:val="2"/>
        </w:numPr>
        <w:rPr>
          <w:rFonts w:ascii="Cambria" w:hAnsi="Cambria"/>
          <w:szCs w:val="22"/>
        </w:rPr>
      </w:pPr>
      <w:r>
        <w:rPr>
          <w:rFonts w:ascii="Cambria" w:hAnsi="Cambria"/>
          <w:szCs w:val="22"/>
        </w:rPr>
        <w:t>A</w:t>
      </w:r>
      <w:r w:rsidRPr="008203D7">
        <w:rPr>
          <w:rFonts w:ascii="Cambria" w:hAnsi="Cambria"/>
          <w:szCs w:val="22"/>
        </w:rPr>
        <w:t xml:space="preserve">nalizar con la Secretaría de Hacienda y Crédito Público la posibilidad de adelantar </w:t>
      </w:r>
      <w:r>
        <w:rPr>
          <w:rFonts w:ascii="Cambria" w:hAnsi="Cambria"/>
          <w:szCs w:val="22"/>
        </w:rPr>
        <w:t xml:space="preserve">el calendario de ministraciones, </w:t>
      </w:r>
      <w:r w:rsidR="00A20425">
        <w:rPr>
          <w:rFonts w:ascii="Cambria" w:hAnsi="Cambria"/>
          <w:szCs w:val="22"/>
        </w:rPr>
        <w:t>es</w:t>
      </w:r>
      <w:r w:rsidRPr="008203D7">
        <w:rPr>
          <w:rFonts w:ascii="Cambria" w:hAnsi="Cambria"/>
          <w:szCs w:val="22"/>
        </w:rPr>
        <w:t xml:space="preserve"> un Programa asociad</w:t>
      </w:r>
      <w:r>
        <w:rPr>
          <w:rFonts w:ascii="Cambria" w:hAnsi="Cambria"/>
          <w:szCs w:val="22"/>
        </w:rPr>
        <w:t>o con la Seguridad Nacional.</w:t>
      </w:r>
    </w:p>
    <w:p w:rsidR="00D61B1E" w:rsidRPr="008203D7" w:rsidRDefault="00D61B1E" w:rsidP="00D61B1E">
      <w:pPr>
        <w:pStyle w:val="Cdetexto"/>
        <w:numPr>
          <w:ilvl w:val="0"/>
          <w:numId w:val="2"/>
        </w:numPr>
        <w:rPr>
          <w:rFonts w:ascii="Cambria" w:hAnsi="Cambria"/>
          <w:szCs w:val="22"/>
        </w:rPr>
      </w:pPr>
      <w:r>
        <w:rPr>
          <w:rFonts w:ascii="Cambria" w:hAnsi="Cambria"/>
          <w:szCs w:val="22"/>
        </w:rPr>
        <w:t xml:space="preserve">Evaluar la inclusión </w:t>
      </w:r>
      <w:r w:rsidR="00A20425">
        <w:rPr>
          <w:rFonts w:ascii="Cambria" w:hAnsi="Cambria"/>
          <w:szCs w:val="22"/>
        </w:rPr>
        <w:t>d</w:t>
      </w:r>
      <w:r w:rsidRPr="008203D7">
        <w:rPr>
          <w:rFonts w:ascii="Cambria" w:hAnsi="Cambria"/>
          <w:szCs w:val="22"/>
        </w:rPr>
        <w:t>el indicador “Incidencia de Dengue”, ya que forma de las Metas para el Bienestar establecido en el PROSESA 2020-2024.</w:t>
      </w:r>
    </w:p>
    <w:p w:rsidR="00D61B1E" w:rsidRDefault="00D61B1E" w:rsidP="00D61B1E">
      <w:pPr>
        <w:pStyle w:val="Cdetexto"/>
        <w:ind w:left="720"/>
        <w:rPr>
          <w:rFonts w:ascii="Cambria" w:hAnsi="Cambria"/>
          <w:szCs w:val="22"/>
        </w:rPr>
      </w:pPr>
    </w:p>
    <w:p w:rsidR="009C024F" w:rsidRPr="00A513FD" w:rsidRDefault="009C024F" w:rsidP="009C024F">
      <w:pPr>
        <w:pStyle w:val="Cdetexto"/>
        <w:rPr>
          <w:rFonts w:ascii="Cambria" w:hAnsi="Cambria"/>
          <w:b/>
          <w:szCs w:val="22"/>
          <w:lang w:val="es-MX"/>
        </w:rPr>
      </w:pPr>
    </w:p>
    <w:p w:rsidR="009C024F" w:rsidRPr="00A513FD" w:rsidRDefault="009C024F" w:rsidP="009C024F">
      <w:pPr>
        <w:pStyle w:val="Cdetexto"/>
        <w:shd w:val="clear" w:color="auto" w:fill="D9D9D9" w:themeFill="background1" w:themeFillShade="D9"/>
        <w:rPr>
          <w:rFonts w:ascii="Cambria" w:hAnsi="Cambria"/>
          <w:b/>
          <w:i/>
          <w:sz w:val="20"/>
          <w:szCs w:val="22"/>
        </w:rPr>
      </w:pPr>
      <w:r w:rsidRPr="00A513FD">
        <w:rPr>
          <w:rFonts w:ascii="Cambria" w:hAnsi="Cambria"/>
          <w:b/>
          <w:i/>
          <w:szCs w:val="22"/>
        </w:rPr>
        <w:t>Notas:</w:t>
      </w:r>
    </w:p>
    <w:p w:rsidR="009C024F" w:rsidRDefault="009C024F" w:rsidP="009C024F">
      <w:pPr>
        <w:pStyle w:val="Cdetexto"/>
        <w:numPr>
          <w:ilvl w:val="0"/>
          <w:numId w:val="1"/>
        </w:numPr>
        <w:shd w:val="clear" w:color="auto" w:fill="D9D9D9" w:themeFill="background1" w:themeFillShade="D9"/>
        <w:ind w:left="426" w:hanging="425"/>
        <w:rPr>
          <w:rFonts w:ascii="Cambria" w:hAnsi="Cambria"/>
          <w:i/>
          <w:sz w:val="20"/>
          <w:szCs w:val="22"/>
        </w:rPr>
      </w:pPr>
      <w:r>
        <w:rPr>
          <w:rFonts w:ascii="Cambria" w:hAnsi="Cambria"/>
          <w:i/>
          <w:sz w:val="20"/>
          <w:szCs w:val="22"/>
        </w:rPr>
        <w:t xml:space="preserve">El </w:t>
      </w:r>
      <w:r w:rsidRPr="00A71FB2">
        <w:rPr>
          <w:rFonts w:ascii="Cambria" w:hAnsi="Cambria"/>
          <w:i/>
          <w:sz w:val="20"/>
          <w:szCs w:val="22"/>
        </w:rPr>
        <w:t xml:space="preserve">FARE </w:t>
      </w:r>
      <w:r w:rsidRPr="00A71FB2">
        <w:rPr>
          <w:rFonts w:ascii="Cambria" w:hAnsi="Cambria"/>
          <w:i/>
          <w:sz w:val="20"/>
        </w:rPr>
        <w:t xml:space="preserve">deberá ser enviado a la UED </w:t>
      </w:r>
      <w:r w:rsidRPr="00A71FB2">
        <w:rPr>
          <w:rFonts w:ascii="Cambria" w:hAnsi="Cambria"/>
          <w:i/>
          <w:sz w:val="20"/>
          <w:szCs w:val="22"/>
        </w:rPr>
        <w:t>y al Consejo de conformidad con lo establecido en los</w:t>
      </w:r>
      <w:r>
        <w:rPr>
          <w:rFonts w:ascii="Cambria" w:hAnsi="Cambria"/>
          <w:i/>
          <w:sz w:val="20"/>
          <w:szCs w:val="22"/>
        </w:rPr>
        <w:t xml:space="preserve"> numerales 33 y 34 de este PAE, </w:t>
      </w:r>
      <w:r w:rsidRPr="00A513FD">
        <w:rPr>
          <w:rFonts w:ascii="Cambria" w:hAnsi="Cambria"/>
          <w:i/>
          <w:sz w:val="20"/>
          <w:szCs w:val="22"/>
        </w:rPr>
        <w:t>junto con el</w:t>
      </w:r>
      <w:r>
        <w:rPr>
          <w:rFonts w:ascii="Cambria" w:hAnsi="Cambria"/>
          <w:i/>
          <w:sz w:val="20"/>
          <w:szCs w:val="22"/>
        </w:rPr>
        <w:t xml:space="preserve"> informe final de la evaluación.</w:t>
      </w:r>
    </w:p>
    <w:p w:rsidR="009C024F" w:rsidRPr="00A513FD" w:rsidRDefault="009C024F" w:rsidP="009C024F">
      <w:pPr>
        <w:pStyle w:val="Cdetexto"/>
        <w:numPr>
          <w:ilvl w:val="0"/>
          <w:numId w:val="1"/>
        </w:numPr>
        <w:shd w:val="clear" w:color="auto" w:fill="D9D9D9" w:themeFill="background1" w:themeFillShade="D9"/>
        <w:ind w:left="426" w:hanging="425"/>
        <w:rPr>
          <w:rFonts w:ascii="Cambria" w:hAnsi="Cambria"/>
          <w:i/>
          <w:sz w:val="20"/>
          <w:szCs w:val="22"/>
        </w:rPr>
      </w:pPr>
      <w:r>
        <w:rPr>
          <w:rFonts w:ascii="Cambria" w:hAnsi="Cambria"/>
          <w:i/>
          <w:sz w:val="20"/>
          <w:szCs w:val="22"/>
        </w:rPr>
        <w:t xml:space="preserve">El FARE contiene la información señalada en el numeral Vigésimo Octavo de los Lineamientos Generales para la Evaluación de los Programas Federales de la APF, con excepción de los incisos V, VI y VII. </w:t>
      </w:r>
    </w:p>
    <w:p w:rsidR="009C024F" w:rsidRDefault="009C024F" w:rsidP="009C024F">
      <w:pPr>
        <w:pStyle w:val="Cdetexto"/>
        <w:numPr>
          <w:ilvl w:val="0"/>
          <w:numId w:val="1"/>
        </w:numPr>
        <w:shd w:val="clear" w:color="auto" w:fill="D9D9D9" w:themeFill="background1" w:themeFillShade="D9"/>
        <w:ind w:left="426" w:hanging="425"/>
        <w:rPr>
          <w:rFonts w:ascii="Cambria" w:hAnsi="Cambria"/>
          <w:i/>
          <w:sz w:val="20"/>
          <w:szCs w:val="22"/>
        </w:rPr>
      </w:pPr>
      <w:r w:rsidRPr="00A513FD">
        <w:rPr>
          <w:rFonts w:ascii="Cambria" w:hAnsi="Cambria"/>
          <w:i/>
          <w:sz w:val="20"/>
          <w:szCs w:val="22"/>
        </w:rPr>
        <w:t xml:space="preserve"> </w:t>
      </w:r>
      <w:r>
        <w:rPr>
          <w:rFonts w:ascii="Cambria" w:hAnsi="Cambria"/>
          <w:i/>
          <w:sz w:val="20"/>
          <w:szCs w:val="22"/>
        </w:rPr>
        <w:t>El FARE</w:t>
      </w:r>
      <w:r w:rsidRPr="00A513FD">
        <w:rPr>
          <w:rFonts w:ascii="Cambria" w:hAnsi="Cambria"/>
          <w:i/>
          <w:sz w:val="20"/>
          <w:szCs w:val="22"/>
        </w:rPr>
        <w:t xml:space="preserve"> constituye el p</w:t>
      </w:r>
      <w:r>
        <w:rPr>
          <w:rFonts w:ascii="Cambria" w:hAnsi="Cambria"/>
          <w:i/>
          <w:sz w:val="20"/>
          <w:szCs w:val="22"/>
        </w:rPr>
        <w:t>rincipal insumo para integrar el</w:t>
      </w:r>
      <w:r w:rsidRPr="00A513FD">
        <w:rPr>
          <w:rFonts w:ascii="Cambria" w:hAnsi="Cambria"/>
          <w:i/>
          <w:sz w:val="20"/>
          <w:szCs w:val="22"/>
        </w:rPr>
        <w:t xml:space="preserve"> informe trimestral al que</w:t>
      </w:r>
      <w:r>
        <w:rPr>
          <w:rFonts w:ascii="Cambria" w:hAnsi="Cambria"/>
          <w:i/>
          <w:sz w:val="20"/>
          <w:szCs w:val="22"/>
        </w:rPr>
        <w:t xml:space="preserve"> hace referencia el artículo 107, fracción I, </w:t>
      </w:r>
      <w:r w:rsidRPr="00A513FD">
        <w:rPr>
          <w:rFonts w:ascii="Cambria" w:hAnsi="Cambria"/>
          <w:i/>
          <w:sz w:val="20"/>
          <w:szCs w:val="22"/>
        </w:rPr>
        <w:t>de la Ley Federal de Presupues</w:t>
      </w:r>
      <w:r>
        <w:rPr>
          <w:rFonts w:ascii="Cambria" w:hAnsi="Cambria"/>
          <w:i/>
          <w:sz w:val="20"/>
          <w:szCs w:val="22"/>
        </w:rPr>
        <w:t xml:space="preserve">to y Responsabilidad Hacendaria (LFPRH).  </w:t>
      </w:r>
    </w:p>
    <w:p w:rsidR="009C024F" w:rsidRPr="00A513FD" w:rsidRDefault="009C024F" w:rsidP="009C024F">
      <w:pPr>
        <w:pStyle w:val="Cdetexto"/>
        <w:numPr>
          <w:ilvl w:val="0"/>
          <w:numId w:val="1"/>
        </w:numPr>
        <w:shd w:val="clear" w:color="auto" w:fill="D9D9D9" w:themeFill="background1" w:themeFillShade="D9"/>
        <w:ind w:left="426" w:hanging="425"/>
        <w:rPr>
          <w:rFonts w:ascii="Cambria" w:hAnsi="Cambria"/>
          <w:i/>
          <w:sz w:val="20"/>
          <w:szCs w:val="22"/>
        </w:rPr>
      </w:pPr>
      <w:r>
        <w:rPr>
          <w:rFonts w:ascii="Cambria" w:hAnsi="Cambria"/>
          <w:i/>
          <w:sz w:val="20"/>
          <w:szCs w:val="22"/>
        </w:rPr>
        <w:t>El FARE constituye uno de los principales insumos para la integración del repositorio de evaluaciones que señala el artículo 303 Bis del Reglamento de la LFPRH.</w:t>
      </w:r>
    </w:p>
    <w:p w:rsidR="009C024F" w:rsidRPr="00A513FD" w:rsidRDefault="009C024F" w:rsidP="009C024F">
      <w:pPr>
        <w:pStyle w:val="Cdetexto"/>
        <w:numPr>
          <w:ilvl w:val="0"/>
          <w:numId w:val="1"/>
        </w:numPr>
        <w:shd w:val="clear" w:color="auto" w:fill="D9D9D9" w:themeFill="background1" w:themeFillShade="D9"/>
        <w:ind w:left="426" w:hanging="425"/>
        <w:rPr>
          <w:rFonts w:ascii="Cambria" w:hAnsi="Cambria"/>
          <w:i/>
          <w:sz w:val="20"/>
          <w:szCs w:val="22"/>
        </w:rPr>
      </w:pPr>
      <w:r w:rsidRPr="00A513FD">
        <w:rPr>
          <w:rFonts w:ascii="Cambria" w:hAnsi="Cambria"/>
          <w:i/>
          <w:sz w:val="20"/>
          <w:szCs w:val="22"/>
        </w:rPr>
        <w:t xml:space="preserve">En caso de que la evaluación se encuentre aún en desarrollo durante el primer semestre del ejercicio fiscal en curso, el AE deberá enviar la versión preliminar de este Formato a la UED, vía electrónica, a más tardar el </w:t>
      </w:r>
      <w:r w:rsidRPr="00EB7CA7">
        <w:rPr>
          <w:rFonts w:ascii="Cambria" w:hAnsi="Cambria"/>
          <w:i/>
          <w:sz w:val="20"/>
          <w:szCs w:val="22"/>
        </w:rPr>
        <w:t>último día hábil de junio</w:t>
      </w:r>
      <w:r w:rsidRPr="00A513FD">
        <w:rPr>
          <w:rFonts w:ascii="Cambria" w:hAnsi="Cambria"/>
          <w:i/>
          <w:sz w:val="20"/>
          <w:szCs w:val="22"/>
        </w:rPr>
        <w:t xml:space="preserve">, con la finalidad de considerar los hallazgos y recomendaciones en el proceso de programación y presupuestación. </w:t>
      </w:r>
    </w:p>
    <w:p w:rsidR="009C024F" w:rsidRPr="00944D17" w:rsidRDefault="009C024F" w:rsidP="009C024F">
      <w:pPr>
        <w:spacing w:before="120" w:after="120" w:line="259" w:lineRule="auto"/>
        <w:rPr>
          <w:rFonts w:ascii="Montserrat" w:hAnsi="Montserrat"/>
          <w:b/>
          <w:i/>
          <w:sz w:val="18"/>
          <w:szCs w:val="18"/>
          <w:lang w:val="es-ES"/>
        </w:rPr>
      </w:pPr>
    </w:p>
    <w:p w:rsidR="00EE2685" w:rsidRPr="009C024F" w:rsidRDefault="00EE2685">
      <w:pPr>
        <w:rPr>
          <w:lang w:val="es-ES"/>
        </w:rPr>
      </w:pPr>
    </w:p>
    <w:sectPr w:rsidR="00EE2685" w:rsidRPr="009C024F">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7812" w:rsidRDefault="00E57812" w:rsidP="009C024F">
      <w:pPr>
        <w:spacing w:after="0" w:line="240" w:lineRule="auto"/>
      </w:pPr>
      <w:r>
        <w:separator/>
      </w:r>
    </w:p>
  </w:endnote>
  <w:endnote w:type="continuationSeparator" w:id="0">
    <w:p w:rsidR="00E57812" w:rsidRDefault="00E57812" w:rsidP="009C02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oberana Sans">
    <w:altName w:val="Calibri"/>
    <w:panose1 w:val="00000000000000000000"/>
    <w:charset w:val="00"/>
    <w:family w:val="modern"/>
    <w:notTrueType/>
    <w:pitch w:val="variable"/>
    <w:sig w:usb0="800000AF" w:usb1="4000204B" w:usb2="00000000" w:usb3="00000000" w:csb0="00000001" w:csb1="00000000"/>
  </w:font>
  <w:font w:name="Montserrat">
    <w:panose1 w:val="000005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7812" w:rsidRDefault="00E57812" w:rsidP="009C024F">
      <w:pPr>
        <w:spacing w:after="0" w:line="240" w:lineRule="auto"/>
      </w:pPr>
      <w:r>
        <w:separator/>
      </w:r>
    </w:p>
  </w:footnote>
  <w:footnote w:type="continuationSeparator" w:id="0">
    <w:p w:rsidR="00E57812" w:rsidRDefault="00E57812" w:rsidP="009C024F">
      <w:pPr>
        <w:spacing w:after="0" w:line="240" w:lineRule="auto"/>
      </w:pPr>
      <w:r>
        <w:continuationSeparator/>
      </w:r>
    </w:p>
  </w:footnote>
  <w:footnote w:id="1">
    <w:p w:rsidR="009C024F" w:rsidRPr="009C024F" w:rsidRDefault="009C024F" w:rsidP="009C024F">
      <w:pPr>
        <w:rPr>
          <w:rFonts w:ascii="Arial" w:hAnsi="Arial" w:cs="Arial"/>
          <w:color w:val="404040"/>
          <w:sz w:val="16"/>
          <w:szCs w:val="16"/>
        </w:rPr>
      </w:pPr>
      <w:r w:rsidRPr="009C024F">
        <w:rPr>
          <w:rStyle w:val="Refdenotaalpie"/>
          <w:rFonts w:ascii="Arial" w:hAnsi="Arial" w:cs="Arial"/>
          <w:sz w:val="16"/>
          <w:szCs w:val="16"/>
        </w:rPr>
        <w:footnoteRef/>
      </w:r>
      <w:r w:rsidRPr="009C024F">
        <w:rPr>
          <w:rFonts w:ascii="Arial" w:hAnsi="Arial" w:cs="Arial"/>
          <w:sz w:val="16"/>
          <w:szCs w:val="16"/>
        </w:rPr>
        <w:t xml:space="preserve"> </w:t>
      </w:r>
      <w:hyperlink r:id="rId1" w:history="1">
        <w:r w:rsidRPr="009C024F">
          <w:rPr>
            <w:rStyle w:val="Hipervnculo"/>
            <w:rFonts w:ascii="Arial" w:hAnsi="Arial" w:cs="Arial"/>
            <w:sz w:val="16"/>
            <w:szCs w:val="16"/>
          </w:rPr>
          <w:t>https://www.gob.mx/cms/uploads/attachment/file/549882/PAE_2020.pdf</w:t>
        </w:r>
      </w:hyperlink>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73083B"/>
    <w:multiLevelType w:val="hybridMultilevel"/>
    <w:tmpl w:val="DCB0EB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6902302F"/>
    <w:multiLevelType w:val="hybridMultilevel"/>
    <w:tmpl w:val="6464B0E0"/>
    <w:lvl w:ilvl="0" w:tplc="23D4C75A">
      <w:numFmt w:val="bullet"/>
      <w:lvlText w:val="•"/>
      <w:lvlJc w:val="left"/>
      <w:pPr>
        <w:ind w:left="1413" w:hanging="705"/>
      </w:pPr>
      <w:rPr>
        <w:rFonts w:ascii="Cambria" w:eastAsia="Times New Roman" w:hAnsi="Cambria"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24F"/>
    <w:rsid w:val="00042B4D"/>
    <w:rsid w:val="000C1B5D"/>
    <w:rsid w:val="00135E1D"/>
    <w:rsid w:val="001F5DBD"/>
    <w:rsid w:val="005D3204"/>
    <w:rsid w:val="005F5D26"/>
    <w:rsid w:val="00701E2C"/>
    <w:rsid w:val="007B1E69"/>
    <w:rsid w:val="008203D7"/>
    <w:rsid w:val="008F04C2"/>
    <w:rsid w:val="00910B1F"/>
    <w:rsid w:val="00955F92"/>
    <w:rsid w:val="009C024F"/>
    <w:rsid w:val="00A1795D"/>
    <w:rsid w:val="00A20425"/>
    <w:rsid w:val="00B64D40"/>
    <w:rsid w:val="00D03FB0"/>
    <w:rsid w:val="00D61B1E"/>
    <w:rsid w:val="00DC32C5"/>
    <w:rsid w:val="00E57812"/>
    <w:rsid w:val="00EE2685"/>
    <w:rsid w:val="00F91535"/>
    <w:rsid w:val="00FF38F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9A27B7-ECD8-4A52-B695-54C2E7281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024F"/>
    <w:pPr>
      <w:spacing w:after="200" w:line="276" w:lineRule="auto"/>
    </w:pPr>
  </w:style>
  <w:style w:type="paragraph" w:styleId="Ttulo2">
    <w:name w:val="heading 2"/>
    <w:basedOn w:val="Normal"/>
    <w:next w:val="Normal"/>
    <w:link w:val="Ttulo2Car"/>
    <w:uiPriority w:val="9"/>
    <w:unhideWhenUsed/>
    <w:qFormat/>
    <w:rsid w:val="009C024F"/>
    <w:pPr>
      <w:keepNext/>
      <w:keepLines/>
      <w:spacing w:before="40" w:after="0"/>
      <w:jc w:val="center"/>
      <w:outlineLvl w:val="1"/>
    </w:pPr>
    <w:rPr>
      <w:rFonts w:ascii="Cambria" w:eastAsiaTheme="majorEastAsia" w:hAnsi="Cambria" w:cstheme="majorBidi"/>
      <w:b/>
      <w:i/>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9C024F"/>
    <w:rPr>
      <w:rFonts w:ascii="Cambria" w:eastAsiaTheme="majorEastAsia" w:hAnsi="Cambria" w:cstheme="majorBidi"/>
      <w:b/>
      <w:i/>
      <w:szCs w:val="26"/>
    </w:rPr>
  </w:style>
  <w:style w:type="character" w:customStyle="1" w:styleId="CABEZACar">
    <w:name w:val="CABEZA Car"/>
    <w:basedOn w:val="Fuentedeprrafopredeter"/>
    <w:link w:val="CABEZA"/>
    <w:locked/>
    <w:rsid w:val="009C024F"/>
    <w:rPr>
      <w:rFonts w:ascii="Soberana Sans" w:eastAsia="Times New Roman" w:hAnsi="Soberana Sans" w:cs="Times New Roman"/>
      <w:noProof/>
      <w:sz w:val="18"/>
      <w:szCs w:val="20"/>
      <w:lang w:val="en-US"/>
    </w:rPr>
  </w:style>
  <w:style w:type="paragraph" w:customStyle="1" w:styleId="CABEZA">
    <w:name w:val="CABEZA"/>
    <w:basedOn w:val="Normal"/>
    <w:link w:val="CABEZACar"/>
    <w:rsid w:val="009C024F"/>
    <w:pPr>
      <w:spacing w:before="120" w:after="120" w:line="240" w:lineRule="auto"/>
      <w:ind w:left="284"/>
      <w:contextualSpacing/>
    </w:pPr>
    <w:rPr>
      <w:rFonts w:ascii="Soberana Sans" w:eastAsia="Times New Roman" w:hAnsi="Soberana Sans" w:cs="Times New Roman"/>
      <w:noProof/>
      <w:sz w:val="18"/>
      <w:szCs w:val="20"/>
      <w:lang w:val="en-US"/>
    </w:rPr>
  </w:style>
  <w:style w:type="paragraph" w:customStyle="1" w:styleId="Textocuadro">
    <w:name w:val="Texto cuadro"/>
    <w:basedOn w:val="Normal"/>
    <w:next w:val="Normal"/>
    <w:rsid w:val="009C024F"/>
    <w:pPr>
      <w:spacing w:before="20" w:after="0" w:line="240" w:lineRule="auto"/>
    </w:pPr>
    <w:rPr>
      <w:rFonts w:ascii="Soberana Sans" w:eastAsia="Times New Roman" w:hAnsi="Soberana Sans" w:cs="Times New Roman"/>
      <w:sz w:val="12"/>
      <w:szCs w:val="20"/>
      <w:lang w:val="es-ES"/>
    </w:rPr>
  </w:style>
  <w:style w:type="paragraph" w:customStyle="1" w:styleId="Textocuadroneg">
    <w:name w:val="Texto cuadro neg"/>
    <w:basedOn w:val="Normal"/>
    <w:next w:val="Normal"/>
    <w:qFormat/>
    <w:rsid w:val="009C024F"/>
    <w:pPr>
      <w:spacing w:before="20" w:after="0" w:line="240" w:lineRule="auto"/>
    </w:pPr>
    <w:rPr>
      <w:rFonts w:ascii="Soberana Sans" w:hAnsi="Soberana Sans"/>
      <w:b/>
      <w:sz w:val="12"/>
      <w:lang w:val="es-ES"/>
    </w:rPr>
  </w:style>
  <w:style w:type="paragraph" w:customStyle="1" w:styleId="Cdetextonegrita">
    <w:name w:val="C. de texto negrita"/>
    <w:basedOn w:val="Normal"/>
    <w:qFormat/>
    <w:rsid w:val="009C024F"/>
    <w:pPr>
      <w:spacing w:after="120" w:line="240" w:lineRule="auto"/>
      <w:jc w:val="both"/>
    </w:pPr>
    <w:rPr>
      <w:rFonts w:ascii="Soberana Sans" w:eastAsia="Times New Roman" w:hAnsi="Soberana Sans" w:cs="Arial"/>
      <w:b/>
      <w:szCs w:val="20"/>
      <w:lang w:val="es-ES" w:eastAsia="es-ES"/>
    </w:rPr>
  </w:style>
  <w:style w:type="paragraph" w:customStyle="1" w:styleId="Cdetexto">
    <w:name w:val="C. de texto"/>
    <w:basedOn w:val="Normal"/>
    <w:qFormat/>
    <w:rsid w:val="009C024F"/>
    <w:pPr>
      <w:spacing w:after="120" w:line="240" w:lineRule="auto"/>
      <w:jc w:val="both"/>
    </w:pPr>
    <w:rPr>
      <w:rFonts w:ascii="Soberana Sans" w:eastAsia="Times New Roman" w:hAnsi="Soberana Sans" w:cs="Arial"/>
      <w:szCs w:val="20"/>
      <w:lang w:val="es-ES" w:eastAsia="es-ES"/>
    </w:rPr>
  </w:style>
  <w:style w:type="paragraph" w:styleId="Textonotapie">
    <w:name w:val="footnote text"/>
    <w:basedOn w:val="Normal"/>
    <w:link w:val="TextonotapieCar"/>
    <w:uiPriority w:val="99"/>
    <w:semiHidden/>
    <w:unhideWhenUsed/>
    <w:rsid w:val="009C024F"/>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C024F"/>
    <w:rPr>
      <w:sz w:val="20"/>
      <w:szCs w:val="20"/>
    </w:rPr>
  </w:style>
  <w:style w:type="character" w:styleId="Refdenotaalpie">
    <w:name w:val="footnote reference"/>
    <w:basedOn w:val="Fuentedeprrafopredeter"/>
    <w:uiPriority w:val="99"/>
    <w:semiHidden/>
    <w:unhideWhenUsed/>
    <w:rsid w:val="009C024F"/>
    <w:rPr>
      <w:vertAlign w:val="superscript"/>
    </w:rPr>
  </w:style>
  <w:style w:type="character" w:styleId="Hipervnculo">
    <w:name w:val="Hyperlink"/>
    <w:basedOn w:val="Fuentedeprrafopredeter"/>
    <w:uiPriority w:val="99"/>
    <w:unhideWhenUsed/>
    <w:rsid w:val="009C024F"/>
    <w:rPr>
      <w:color w:val="0563C1"/>
      <w:u w:val="single"/>
    </w:rPr>
  </w:style>
  <w:style w:type="paragraph" w:styleId="Prrafodelista">
    <w:name w:val="List Paragraph"/>
    <w:basedOn w:val="Normal"/>
    <w:uiPriority w:val="34"/>
    <w:qFormat/>
    <w:rsid w:val="008203D7"/>
    <w:pPr>
      <w:ind w:left="720"/>
      <w:contextualSpacing/>
    </w:pPr>
  </w:style>
  <w:style w:type="paragraph" w:styleId="NormalWeb">
    <w:name w:val="Normal (Web)"/>
    <w:basedOn w:val="Normal"/>
    <w:uiPriority w:val="99"/>
    <w:semiHidden/>
    <w:unhideWhenUsed/>
    <w:rsid w:val="00135E1D"/>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1516">
      <w:bodyDiv w:val="1"/>
      <w:marLeft w:val="0"/>
      <w:marRight w:val="0"/>
      <w:marTop w:val="0"/>
      <w:marBottom w:val="0"/>
      <w:divBdr>
        <w:top w:val="none" w:sz="0" w:space="0" w:color="auto"/>
        <w:left w:val="none" w:sz="0" w:space="0" w:color="auto"/>
        <w:bottom w:val="none" w:sz="0" w:space="0" w:color="auto"/>
        <w:right w:val="none" w:sz="0" w:space="0" w:color="auto"/>
      </w:divBdr>
    </w:div>
    <w:div w:id="258757653">
      <w:bodyDiv w:val="1"/>
      <w:marLeft w:val="0"/>
      <w:marRight w:val="0"/>
      <w:marTop w:val="0"/>
      <w:marBottom w:val="0"/>
      <w:divBdr>
        <w:top w:val="none" w:sz="0" w:space="0" w:color="auto"/>
        <w:left w:val="none" w:sz="0" w:space="0" w:color="auto"/>
        <w:bottom w:val="none" w:sz="0" w:space="0" w:color="auto"/>
        <w:right w:val="none" w:sz="0" w:space="0" w:color="auto"/>
      </w:divBdr>
    </w:div>
    <w:div w:id="821579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gob.mx/cms/uploads/attachment/file/549882/PAE_2020.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C7D071-EDE7-4319-B694-8A0EBF9DF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894</Words>
  <Characters>4917</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UED</dc:creator>
  <cp:keywords/>
  <dc:description/>
  <cp:lastModifiedBy>Haydeé Martínez</cp:lastModifiedBy>
  <cp:revision>2</cp:revision>
  <dcterms:created xsi:type="dcterms:W3CDTF">2020-12-30T15:49:00Z</dcterms:created>
  <dcterms:modified xsi:type="dcterms:W3CDTF">2020-12-30T15:49:00Z</dcterms:modified>
</cp:coreProperties>
</file>