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302317" w14:textId="77777777" w:rsidR="007B49AE" w:rsidRPr="00565830" w:rsidRDefault="007B49AE" w:rsidP="007B49AE">
      <w:pPr>
        <w:pStyle w:val="Ttulo1"/>
        <w:jc w:val="both"/>
        <w:rPr>
          <w:rFonts w:ascii="Arial" w:hAnsi="Arial" w:cs="Arial"/>
          <w:color w:val="auto"/>
          <w:sz w:val="24"/>
          <w:szCs w:val="24"/>
        </w:rPr>
      </w:pPr>
      <w:bookmarkStart w:id="0" w:name="_Toc58251727"/>
      <w:r w:rsidRPr="00565830">
        <w:rPr>
          <w:rFonts w:ascii="Arial" w:hAnsi="Arial" w:cs="Arial"/>
          <w:color w:val="auto"/>
          <w:sz w:val="24"/>
          <w:szCs w:val="24"/>
        </w:rPr>
        <w:t>Anexo 6 “Complementariedad y coincidencias entre programas federales y/o acciones de desarrollo social en otros niveles de gobierno”</w:t>
      </w:r>
      <w:bookmarkEnd w:id="0"/>
    </w:p>
    <w:p w14:paraId="63BEE9A4" w14:textId="77777777" w:rsidR="007B49AE" w:rsidRPr="00565830" w:rsidRDefault="007B49AE" w:rsidP="007B49AE">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tbl>
      <w:tblPr>
        <w:tblW w:w="9770" w:type="dxa"/>
        <w:tblInd w:w="60" w:type="dxa"/>
        <w:tblCellMar>
          <w:left w:w="70" w:type="dxa"/>
          <w:right w:w="70" w:type="dxa"/>
        </w:tblCellMar>
        <w:tblLook w:val="04A0" w:firstRow="1" w:lastRow="0" w:firstColumn="1" w:lastColumn="0" w:noHBand="0" w:noVBand="1"/>
      </w:tblPr>
      <w:tblGrid>
        <w:gridCol w:w="9770"/>
      </w:tblGrid>
      <w:tr w:rsidR="007B49AE" w:rsidRPr="00565830" w14:paraId="24ACEC6B" w14:textId="77777777" w:rsidTr="00CC56D2">
        <w:trPr>
          <w:trHeight w:val="291"/>
        </w:trPr>
        <w:tc>
          <w:tcPr>
            <w:tcW w:w="9770" w:type="dxa"/>
            <w:tcBorders>
              <w:top w:val="nil"/>
              <w:left w:val="nil"/>
              <w:bottom w:val="nil"/>
              <w:right w:val="nil"/>
            </w:tcBorders>
            <w:shd w:val="clear" w:color="auto" w:fill="auto"/>
            <w:noWrap/>
            <w:vAlign w:val="bottom"/>
            <w:hideMark/>
          </w:tcPr>
          <w:p w14:paraId="2E1632F0" w14:textId="77777777" w:rsidR="007B49AE" w:rsidRPr="00565830" w:rsidRDefault="007B49AE" w:rsidP="00CC56D2">
            <w:pPr>
              <w:spacing w:after="0" w:line="240" w:lineRule="auto"/>
              <w:jc w:val="both"/>
              <w:rPr>
                <w:rFonts w:ascii="Arial" w:hAnsi="Arial" w:cs="Arial"/>
                <w:b/>
                <w:bCs/>
                <w:color w:val="000000"/>
                <w:sz w:val="20"/>
                <w:szCs w:val="20"/>
                <w:lang w:eastAsia="es-MX"/>
              </w:rPr>
            </w:pPr>
            <w:r w:rsidRPr="00565830">
              <w:rPr>
                <w:rFonts w:ascii="Arial" w:hAnsi="Arial" w:cs="Arial"/>
                <w:b/>
                <w:bCs/>
                <w:color w:val="000000"/>
                <w:sz w:val="20"/>
                <w:szCs w:val="20"/>
                <w:lang w:eastAsia="es-MX"/>
              </w:rPr>
              <w:t xml:space="preserve">Nombre del Programa: </w:t>
            </w:r>
            <w:r w:rsidRPr="00565830">
              <w:rPr>
                <w:rFonts w:ascii="Arial" w:hAnsi="Arial" w:cs="Arial"/>
                <w:bCs/>
                <w:color w:val="000000"/>
                <w:sz w:val="20"/>
                <w:szCs w:val="20"/>
                <w:lang w:eastAsia="es-MX"/>
              </w:rPr>
              <w:t>Vigilancia Epidemiológica.</w:t>
            </w:r>
          </w:p>
        </w:tc>
      </w:tr>
      <w:tr w:rsidR="007B49AE" w:rsidRPr="00565830" w14:paraId="449027B1" w14:textId="77777777" w:rsidTr="00CC56D2">
        <w:trPr>
          <w:trHeight w:val="291"/>
        </w:trPr>
        <w:tc>
          <w:tcPr>
            <w:tcW w:w="9770" w:type="dxa"/>
            <w:tcBorders>
              <w:top w:val="nil"/>
              <w:left w:val="nil"/>
              <w:bottom w:val="nil"/>
              <w:right w:val="nil"/>
            </w:tcBorders>
            <w:shd w:val="clear" w:color="auto" w:fill="auto"/>
            <w:noWrap/>
            <w:vAlign w:val="bottom"/>
            <w:hideMark/>
          </w:tcPr>
          <w:p w14:paraId="18F68670" w14:textId="77777777" w:rsidR="007B49AE" w:rsidRPr="00565830" w:rsidRDefault="007B49AE" w:rsidP="00CC56D2">
            <w:pPr>
              <w:spacing w:after="0" w:line="240" w:lineRule="auto"/>
              <w:jc w:val="both"/>
              <w:rPr>
                <w:rFonts w:ascii="Arial" w:hAnsi="Arial" w:cs="Arial"/>
                <w:b/>
                <w:bCs/>
                <w:color w:val="000000"/>
                <w:sz w:val="20"/>
                <w:szCs w:val="20"/>
                <w:lang w:eastAsia="es-MX"/>
              </w:rPr>
            </w:pPr>
            <w:r w:rsidRPr="00565830">
              <w:rPr>
                <w:rFonts w:ascii="Arial" w:hAnsi="Arial" w:cs="Arial"/>
                <w:b/>
                <w:bCs/>
                <w:color w:val="000000"/>
                <w:sz w:val="20"/>
                <w:szCs w:val="20"/>
                <w:lang w:eastAsia="es-MX"/>
              </w:rPr>
              <w:t xml:space="preserve">Modalidad: </w:t>
            </w:r>
            <w:r w:rsidRPr="00565830">
              <w:rPr>
                <w:rFonts w:ascii="Arial" w:hAnsi="Arial" w:cs="Arial"/>
                <w:bCs/>
                <w:color w:val="000000"/>
                <w:sz w:val="20"/>
                <w:szCs w:val="20"/>
                <w:lang w:eastAsia="es-MX"/>
              </w:rPr>
              <w:t>U009</w:t>
            </w:r>
          </w:p>
        </w:tc>
      </w:tr>
      <w:tr w:rsidR="007B49AE" w:rsidRPr="00565830" w14:paraId="2A690376" w14:textId="77777777" w:rsidTr="00CC56D2">
        <w:trPr>
          <w:trHeight w:val="291"/>
        </w:trPr>
        <w:tc>
          <w:tcPr>
            <w:tcW w:w="9770" w:type="dxa"/>
            <w:tcBorders>
              <w:top w:val="nil"/>
              <w:left w:val="nil"/>
              <w:bottom w:val="nil"/>
              <w:right w:val="nil"/>
            </w:tcBorders>
            <w:shd w:val="clear" w:color="auto" w:fill="auto"/>
            <w:noWrap/>
            <w:vAlign w:val="bottom"/>
            <w:hideMark/>
          </w:tcPr>
          <w:p w14:paraId="694F8332" w14:textId="77777777" w:rsidR="007B49AE" w:rsidRPr="00565830" w:rsidRDefault="007B49AE" w:rsidP="00CC56D2">
            <w:pPr>
              <w:spacing w:after="0" w:line="240" w:lineRule="auto"/>
              <w:jc w:val="both"/>
              <w:rPr>
                <w:rFonts w:ascii="Arial" w:hAnsi="Arial" w:cs="Arial"/>
                <w:b/>
                <w:bCs/>
                <w:color w:val="000000"/>
                <w:sz w:val="20"/>
                <w:szCs w:val="20"/>
                <w:lang w:eastAsia="es-MX"/>
              </w:rPr>
            </w:pPr>
            <w:r w:rsidRPr="00565830">
              <w:rPr>
                <w:rFonts w:ascii="Arial" w:hAnsi="Arial" w:cs="Arial"/>
                <w:b/>
                <w:bCs/>
                <w:color w:val="000000"/>
                <w:sz w:val="20"/>
                <w:szCs w:val="20"/>
                <w:lang w:eastAsia="es-MX"/>
              </w:rPr>
              <w:t xml:space="preserve">Dependencia/Entidad: </w:t>
            </w:r>
            <w:r w:rsidRPr="00565830">
              <w:rPr>
                <w:rFonts w:ascii="Arial" w:hAnsi="Arial" w:cs="Arial"/>
                <w:bCs/>
                <w:color w:val="000000"/>
                <w:sz w:val="20"/>
                <w:szCs w:val="20"/>
                <w:lang w:eastAsia="es-MX"/>
              </w:rPr>
              <w:t>Secretaría de Salud.</w:t>
            </w:r>
          </w:p>
        </w:tc>
      </w:tr>
      <w:tr w:rsidR="007B49AE" w:rsidRPr="00565830" w14:paraId="0A81DDD0" w14:textId="77777777" w:rsidTr="00CC56D2">
        <w:trPr>
          <w:trHeight w:val="291"/>
        </w:trPr>
        <w:tc>
          <w:tcPr>
            <w:tcW w:w="9770" w:type="dxa"/>
            <w:tcBorders>
              <w:top w:val="nil"/>
              <w:left w:val="nil"/>
              <w:bottom w:val="nil"/>
              <w:right w:val="nil"/>
            </w:tcBorders>
            <w:shd w:val="clear" w:color="auto" w:fill="auto"/>
            <w:noWrap/>
            <w:vAlign w:val="bottom"/>
            <w:hideMark/>
          </w:tcPr>
          <w:p w14:paraId="19B687BB" w14:textId="77777777" w:rsidR="007B49AE" w:rsidRPr="00565830" w:rsidRDefault="007B49AE" w:rsidP="00CC56D2">
            <w:pPr>
              <w:spacing w:after="0" w:line="240" w:lineRule="auto"/>
              <w:jc w:val="both"/>
              <w:rPr>
                <w:rFonts w:ascii="Arial" w:hAnsi="Arial" w:cs="Arial"/>
                <w:b/>
                <w:bCs/>
                <w:color w:val="000000"/>
                <w:sz w:val="20"/>
                <w:szCs w:val="20"/>
                <w:lang w:eastAsia="es-MX"/>
              </w:rPr>
            </w:pPr>
            <w:r w:rsidRPr="00565830">
              <w:rPr>
                <w:rFonts w:ascii="Arial" w:hAnsi="Arial" w:cs="Arial"/>
                <w:b/>
                <w:bCs/>
                <w:color w:val="000000"/>
                <w:sz w:val="20"/>
                <w:szCs w:val="20"/>
                <w:lang w:eastAsia="es-MX"/>
              </w:rPr>
              <w:t xml:space="preserve">Unidad Responsable: </w:t>
            </w:r>
            <w:r w:rsidRPr="00565830">
              <w:rPr>
                <w:rFonts w:ascii="Arial" w:hAnsi="Arial" w:cs="Arial"/>
                <w:bCs/>
                <w:color w:val="000000"/>
                <w:sz w:val="20"/>
                <w:szCs w:val="20"/>
                <w:lang w:eastAsia="es-MX"/>
              </w:rPr>
              <w:t>Centro Nacional de Programas Preventivos y Control de Enfermedades.</w:t>
            </w:r>
          </w:p>
        </w:tc>
      </w:tr>
      <w:tr w:rsidR="007B49AE" w:rsidRPr="00565830" w14:paraId="024E8141" w14:textId="77777777" w:rsidTr="00CC56D2">
        <w:trPr>
          <w:trHeight w:val="291"/>
        </w:trPr>
        <w:tc>
          <w:tcPr>
            <w:tcW w:w="9770" w:type="dxa"/>
            <w:tcBorders>
              <w:top w:val="nil"/>
              <w:left w:val="nil"/>
              <w:bottom w:val="nil"/>
              <w:right w:val="nil"/>
            </w:tcBorders>
            <w:shd w:val="clear" w:color="auto" w:fill="auto"/>
            <w:noWrap/>
            <w:vAlign w:val="bottom"/>
            <w:hideMark/>
          </w:tcPr>
          <w:p w14:paraId="332735FA" w14:textId="77777777" w:rsidR="007B49AE" w:rsidRPr="00565830" w:rsidRDefault="007B49AE" w:rsidP="00CC56D2">
            <w:pPr>
              <w:spacing w:after="0" w:line="240" w:lineRule="auto"/>
              <w:jc w:val="both"/>
              <w:rPr>
                <w:rFonts w:ascii="Arial" w:hAnsi="Arial" w:cs="Arial"/>
                <w:b/>
                <w:bCs/>
                <w:color w:val="000000"/>
                <w:sz w:val="20"/>
                <w:szCs w:val="20"/>
                <w:lang w:eastAsia="es-MX"/>
              </w:rPr>
            </w:pPr>
            <w:r w:rsidRPr="00565830">
              <w:rPr>
                <w:rFonts w:ascii="Arial" w:hAnsi="Arial" w:cs="Arial"/>
                <w:b/>
                <w:bCs/>
                <w:color w:val="000000"/>
                <w:sz w:val="20"/>
                <w:szCs w:val="20"/>
                <w:lang w:eastAsia="es-MX"/>
              </w:rPr>
              <w:t xml:space="preserve">Tipo de Evaluación: </w:t>
            </w:r>
            <w:r w:rsidRPr="00565830">
              <w:rPr>
                <w:rFonts w:ascii="Arial" w:hAnsi="Arial" w:cs="Arial"/>
                <w:bCs/>
                <w:color w:val="000000"/>
                <w:sz w:val="20"/>
                <w:szCs w:val="20"/>
                <w:lang w:eastAsia="es-MX"/>
              </w:rPr>
              <w:t>Evaluación de Consistencia y Resultados.</w:t>
            </w:r>
          </w:p>
        </w:tc>
      </w:tr>
      <w:tr w:rsidR="007B49AE" w:rsidRPr="00565830" w14:paraId="4AE91983" w14:textId="77777777" w:rsidTr="00CC56D2">
        <w:trPr>
          <w:trHeight w:val="291"/>
        </w:trPr>
        <w:tc>
          <w:tcPr>
            <w:tcW w:w="9770" w:type="dxa"/>
            <w:tcBorders>
              <w:top w:val="nil"/>
              <w:left w:val="nil"/>
              <w:bottom w:val="nil"/>
              <w:right w:val="nil"/>
            </w:tcBorders>
            <w:shd w:val="clear" w:color="auto" w:fill="auto"/>
            <w:noWrap/>
            <w:vAlign w:val="bottom"/>
            <w:hideMark/>
          </w:tcPr>
          <w:p w14:paraId="18C14E64" w14:textId="77777777" w:rsidR="007B49AE" w:rsidRPr="00565830" w:rsidRDefault="007B49AE" w:rsidP="00CC56D2">
            <w:pPr>
              <w:spacing w:after="0" w:line="240" w:lineRule="auto"/>
              <w:jc w:val="both"/>
              <w:rPr>
                <w:rFonts w:ascii="Arial" w:hAnsi="Arial" w:cs="Arial"/>
                <w:b/>
                <w:bCs/>
                <w:color w:val="000000"/>
                <w:sz w:val="20"/>
                <w:szCs w:val="20"/>
                <w:lang w:eastAsia="es-MX"/>
              </w:rPr>
            </w:pPr>
            <w:r w:rsidRPr="00565830">
              <w:rPr>
                <w:rFonts w:ascii="Arial" w:hAnsi="Arial" w:cs="Arial"/>
                <w:b/>
                <w:bCs/>
                <w:color w:val="000000"/>
                <w:sz w:val="20"/>
                <w:szCs w:val="20"/>
                <w:lang w:eastAsia="es-MX"/>
              </w:rPr>
              <w:t xml:space="preserve">Año de la Evaluación: </w:t>
            </w:r>
            <w:r w:rsidRPr="00565830">
              <w:rPr>
                <w:rFonts w:ascii="Arial" w:hAnsi="Arial" w:cs="Arial"/>
                <w:bCs/>
                <w:color w:val="000000"/>
                <w:sz w:val="20"/>
                <w:szCs w:val="20"/>
                <w:lang w:eastAsia="es-MX"/>
              </w:rPr>
              <w:t>2019</w:t>
            </w:r>
          </w:p>
        </w:tc>
      </w:tr>
    </w:tbl>
    <w:p w14:paraId="6B84967F" w14:textId="77777777" w:rsidR="007B49AE" w:rsidRPr="00565830" w:rsidRDefault="007B49AE" w:rsidP="007B49AE">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tbl>
      <w:tblPr>
        <w:tblpPr w:leftFromText="141" w:rightFromText="141" w:vertAnchor="text" w:horzAnchor="page" w:tblpXSpec="center" w:tblpY="93"/>
        <w:tblW w:w="12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63"/>
        <w:gridCol w:w="932"/>
        <w:gridCol w:w="1204"/>
        <w:gridCol w:w="1510"/>
        <w:gridCol w:w="1413"/>
        <w:gridCol w:w="1355"/>
        <w:gridCol w:w="1021"/>
        <w:gridCol w:w="1056"/>
        <w:gridCol w:w="932"/>
        <w:gridCol w:w="1172"/>
        <w:gridCol w:w="1089"/>
      </w:tblGrid>
      <w:tr w:rsidR="007B49AE" w:rsidRPr="00565830" w14:paraId="07CD6683" w14:textId="77777777" w:rsidTr="00CC56D2">
        <w:trPr>
          <w:trHeight w:val="922"/>
          <w:tblHeader/>
        </w:trPr>
        <w:tc>
          <w:tcPr>
            <w:tcW w:w="1063" w:type="dxa"/>
            <w:shd w:val="clear" w:color="000000" w:fill="366092"/>
            <w:vAlign w:val="center"/>
            <w:hideMark/>
          </w:tcPr>
          <w:p w14:paraId="588E7328" w14:textId="77777777" w:rsidR="007B49AE" w:rsidRPr="00565830" w:rsidRDefault="007B49AE" w:rsidP="00CC56D2">
            <w:pPr>
              <w:spacing w:after="0" w:line="240" w:lineRule="auto"/>
              <w:jc w:val="center"/>
              <w:rPr>
                <w:rFonts w:ascii="Arial" w:hAnsi="Arial" w:cs="Arial"/>
                <w:b/>
                <w:bCs/>
                <w:color w:val="FFFFFF"/>
                <w:sz w:val="14"/>
                <w:szCs w:val="14"/>
                <w:lang w:eastAsia="es-MX"/>
              </w:rPr>
            </w:pPr>
            <w:r w:rsidRPr="00565830">
              <w:rPr>
                <w:rFonts w:ascii="Arial" w:hAnsi="Arial" w:cs="Arial"/>
                <w:b/>
                <w:bCs/>
                <w:color w:val="FFFFFF"/>
                <w:sz w:val="14"/>
                <w:szCs w:val="14"/>
                <w:lang w:eastAsia="es-MX"/>
              </w:rPr>
              <w:t>Nombre del programa</w:t>
            </w:r>
          </w:p>
        </w:tc>
        <w:tc>
          <w:tcPr>
            <w:tcW w:w="932" w:type="dxa"/>
            <w:shd w:val="clear" w:color="000000" w:fill="366092"/>
            <w:vAlign w:val="center"/>
            <w:hideMark/>
          </w:tcPr>
          <w:p w14:paraId="6BE4AA75" w14:textId="77777777" w:rsidR="007B49AE" w:rsidRPr="00565830" w:rsidRDefault="007B49AE" w:rsidP="00CC56D2">
            <w:pPr>
              <w:spacing w:after="0" w:line="240" w:lineRule="auto"/>
              <w:jc w:val="center"/>
              <w:rPr>
                <w:rFonts w:ascii="Arial" w:hAnsi="Arial" w:cs="Arial"/>
                <w:b/>
                <w:bCs/>
                <w:color w:val="FFFFFF"/>
                <w:sz w:val="14"/>
                <w:szCs w:val="14"/>
                <w:lang w:eastAsia="es-MX"/>
              </w:rPr>
            </w:pPr>
            <w:r w:rsidRPr="00565830">
              <w:rPr>
                <w:rFonts w:ascii="Arial" w:hAnsi="Arial" w:cs="Arial"/>
                <w:b/>
                <w:bCs/>
                <w:color w:val="FFFFFF"/>
                <w:sz w:val="14"/>
                <w:szCs w:val="14"/>
                <w:lang w:eastAsia="es-MX"/>
              </w:rPr>
              <w:t>Modalidad y clave</w:t>
            </w:r>
          </w:p>
        </w:tc>
        <w:tc>
          <w:tcPr>
            <w:tcW w:w="1204" w:type="dxa"/>
            <w:shd w:val="clear" w:color="000000" w:fill="366092"/>
            <w:vAlign w:val="center"/>
            <w:hideMark/>
          </w:tcPr>
          <w:p w14:paraId="3E6C3E0B" w14:textId="77777777" w:rsidR="007B49AE" w:rsidRPr="00565830" w:rsidRDefault="007B49AE" w:rsidP="00CC56D2">
            <w:pPr>
              <w:spacing w:after="0" w:line="240" w:lineRule="auto"/>
              <w:jc w:val="center"/>
              <w:rPr>
                <w:rFonts w:ascii="Arial" w:hAnsi="Arial" w:cs="Arial"/>
                <w:b/>
                <w:bCs/>
                <w:color w:val="FFFFFF"/>
                <w:sz w:val="14"/>
                <w:szCs w:val="14"/>
                <w:lang w:eastAsia="es-MX"/>
              </w:rPr>
            </w:pPr>
            <w:r w:rsidRPr="00565830">
              <w:rPr>
                <w:rFonts w:ascii="Arial" w:hAnsi="Arial" w:cs="Arial"/>
                <w:b/>
                <w:bCs/>
                <w:color w:val="FFFFFF"/>
                <w:sz w:val="14"/>
                <w:szCs w:val="14"/>
                <w:lang w:eastAsia="es-MX"/>
              </w:rPr>
              <w:t>Dependencia/ Entidad</w:t>
            </w:r>
          </w:p>
        </w:tc>
        <w:tc>
          <w:tcPr>
            <w:tcW w:w="1510" w:type="dxa"/>
            <w:shd w:val="clear" w:color="000000" w:fill="366092"/>
            <w:vAlign w:val="center"/>
            <w:hideMark/>
          </w:tcPr>
          <w:p w14:paraId="5995096E" w14:textId="77777777" w:rsidR="007B49AE" w:rsidRPr="00565830" w:rsidRDefault="007B49AE" w:rsidP="00CC56D2">
            <w:pPr>
              <w:spacing w:after="0" w:line="240" w:lineRule="auto"/>
              <w:jc w:val="center"/>
              <w:rPr>
                <w:rFonts w:ascii="Arial" w:hAnsi="Arial" w:cs="Arial"/>
                <w:b/>
                <w:bCs/>
                <w:color w:val="FFFFFF"/>
                <w:sz w:val="14"/>
                <w:szCs w:val="14"/>
                <w:lang w:eastAsia="es-MX"/>
              </w:rPr>
            </w:pPr>
            <w:r w:rsidRPr="00565830">
              <w:rPr>
                <w:rFonts w:ascii="Arial" w:hAnsi="Arial" w:cs="Arial"/>
                <w:b/>
                <w:bCs/>
                <w:color w:val="FFFFFF"/>
                <w:sz w:val="14"/>
                <w:szCs w:val="14"/>
                <w:lang w:eastAsia="es-MX"/>
              </w:rPr>
              <w:t>Propósito</w:t>
            </w:r>
          </w:p>
        </w:tc>
        <w:tc>
          <w:tcPr>
            <w:tcW w:w="1413" w:type="dxa"/>
            <w:shd w:val="clear" w:color="000000" w:fill="366092"/>
            <w:vAlign w:val="center"/>
            <w:hideMark/>
          </w:tcPr>
          <w:p w14:paraId="4597AE35" w14:textId="77777777" w:rsidR="007B49AE" w:rsidRPr="00565830" w:rsidRDefault="007B49AE" w:rsidP="00CC56D2">
            <w:pPr>
              <w:spacing w:after="0" w:line="240" w:lineRule="auto"/>
              <w:jc w:val="center"/>
              <w:rPr>
                <w:rFonts w:ascii="Arial" w:hAnsi="Arial" w:cs="Arial"/>
                <w:b/>
                <w:bCs/>
                <w:color w:val="FFFFFF"/>
                <w:sz w:val="14"/>
                <w:szCs w:val="14"/>
                <w:lang w:eastAsia="es-MX"/>
              </w:rPr>
            </w:pPr>
            <w:r w:rsidRPr="00565830">
              <w:rPr>
                <w:rFonts w:ascii="Arial" w:hAnsi="Arial" w:cs="Arial"/>
                <w:b/>
                <w:bCs/>
                <w:color w:val="FFFFFF"/>
                <w:sz w:val="14"/>
                <w:szCs w:val="14"/>
                <w:lang w:eastAsia="es-MX"/>
              </w:rPr>
              <w:t>Población objetivo</w:t>
            </w:r>
          </w:p>
        </w:tc>
        <w:tc>
          <w:tcPr>
            <w:tcW w:w="1355" w:type="dxa"/>
            <w:shd w:val="clear" w:color="000000" w:fill="366092"/>
            <w:vAlign w:val="center"/>
            <w:hideMark/>
          </w:tcPr>
          <w:p w14:paraId="6702FAA6" w14:textId="77777777" w:rsidR="007B49AE" w:rsidRPr="00565830" w:rsidRDefault="007B49AE" w:rsidP="00CC56D2">
            <w:pPr>
              <w:spacing w:after="0" w:line="240" w:lineRule="auto"/>
              <w:jc w:val="center"/>
              <w:rPr>
                <w:rFonts w:ascii="Arial" w:hAnsi="Arial" w:cs="Arial"/>
                <w:b/>
                <w:bCs/>
                <w:color w:val="FFFFFF"/>
                <w:sz w:val="14"/>
                <w:szCs w:val="14"/>
                <w:lang w:eastAsia="es-MX"/>
              </w:rPr>
            </w:pPr>
            <w:r w:rsidRPr="00565830">
              <w:rPr>
                <w:rFonts w:ascii="Arial" w:hAnsi="Arial" w:cs="Arial"/>
                <w:b/>
                <w:bCs/>
                <w:color w:val="FFFFFF"/>
                <w:sz w:val="14"/>
                <w:szCs w:val="14"/>
                <w:lang w:eastAsia="es-MX"/>
              </w:rPr>
              <w:t>Tipo de apoyo</w:t>
            </w:r>
          </w:p>
        </w:tc>
        <w:tc>
          <w:tcPr>
            <w:tcW w:w="1021" w:type="dxa"/>
            <w:shd w:val="clear" w:color="000000" w:fill="366092"/>
            <w:vAlign w:val="center"/>
            <w:hideMark/>
          </w:tcPr>
          <w:p w14:paraId="78569282" w14:textId="77777777" w:rsidR="007B49AE" w:rsidRPr="00565830" w:rsidRDefault="007B49AE" w:rsidP="00CC56D2">
            <w:pPr>
              <w:spacing w:after="0" w:line="240" w:lineRule="auto"/>
              <w:jc w:val="center"/>
              <w:rPr>
                <w:rFonts w:ascii="Arial" w:hAnsi="Arial" w:cs="Arial"/>
                <w:b/>
                <w:bCs/>
                <w:color w:val="FFFFFF"/>
                <w:sz w:val="14"/>
                <w:szCs w:val="14"/>
                <w:lang w:eastAsia="es-MX"/>
              </w:rPr>
            </w:pPr>
            <w:r w:rsidRPr="00565830">
              <w:rPr>
                <w:rFonts w:ascii="Arial" w:hAnsi="Arial" w:cs="Arial"/>
                <w:b/>
                <w:bCs/>
                <w:color w:val="FFFFFF"/>
                <w:sz w:val="14"/>
                <w:szCs w:val="14"/>
                <w:lang w:eastAsia="es-MX"/>
              </w:rPr>
              <w:t>Cobertura geográfica</w:t>
            </w:r>
          </w:p>
        </w:tc>
        <w:tc>
          <w:tcPr>
            <w:tcW w:w="1056" w:type="dxa"/>
            <w:shd w:val="clear" w:color="000000" w:fill="366092"/>
            <w:vAlign w:val="center"/>
            <w:hideMark/>
          </w:tcPr>
          <w:p w14:paraId="2C3F8E1F" w14:textId="77777777" w:rsidR="007B49AE" w:rsidRPr="00565830" w:rsidRDefault="007B49AE" w:rsidP="00CC56D2">
            <w:pPr>
              <w:spacing w:after="0" w:line="240" w:lineRule="auto"/>
              <w:jc w:val="center"/>
              <w:rPr>
                <w:rFonts w:ascii="Arial" w:hAnsi="Arial" w:cs="Arial"/>
                <w:b/>
                <w:bCs/>
                <w:color w:val="FFFFFF"/>
                <w:sz w:val="14"/>
                <w:szCs w:val="14"/>
                <w:lang w:eastAsia="es-MX"/>
              </w:rPr>
            </w:pPr>
            <w:r w:rsidRPr="00565830">
              <w:rPr>
                <w:rFonts w:ascii="Arial" w:hAnsi="Arial" w:cs="Arial"/>
                <w:b/>
                <w:bCs/>
                <w:color w:val="FFFFFF"/>
                <w:sz w:val="14"/>
                <w:szCs w:val="14"/>
                <w:lang w:eastAsia="es-MX"/>
              </w:rPr>
              <w:t>Fuentes de información</w:t>
            </w:r>
          </w:p>
        </w:tc>
        <w:tc>
          <w:tcPr>
            <w:tcW w:w="932" w:type="dxa"/>
            <w:shd w:val="clear" w:color="000000" w:fill="366092"/>
            <w:vAlign w:val="center"/>
            <w:hideMark/>
          </w:tcPr>
          <w:p w14:paraId="1D3C0FB5" w14:textId="77777777" w:rsidR="007B49AE" w:rsidRPr="00565830" w:rsidRDefault="007B49AE" w:rsidP="00CC56D2">
            <w:pPr>
              <w:spacing w:after="0" w:line="240" w:lineRule="auto"/>
              <w:jc w:val="center"/>
              <w:rPr>
                <w:rFonts w:ascii="Arial" w:hAnsi="Arial" w:cs="Arial"/>
                <w:b/>
                <w:bCs/>
                <w:color w:val="FFFFFF"/>
                <w:sz w:val="14"/>
                <w:szCs w:val="14"/>
                <w:lang w:eastAsia="es-MX"/>
              </w:rPr>
            </w:pPr>
            <w:r w:rsidRPr="00565830">
              <w:rPr>
                <w:rFonts w:ascii="Arial" w:hAnsi="Arial" w:cs="Arial"/>
                <w:b/>
                <w:bCs/>
                <w:color w:val="FFFFFF"/>
                <w:sz w:val="14"/>
                <w:szCs w:val="14"/>
                <w:lang w:eastAsia="es-MX"/>
              </w:rPr>
              <w:t>¿Coincide con el programa evaluado?</w:t>
            </w:r>
          </w:p>
        </w:tc>
        <w:tc>
          <w:tcPr>
            <w:tcW w:w="1172" w:type="dxa"/>
            <w:shd w:val="clear" w:color="000000" w:fill="366092"/>
            <w:vAlign w:val="center"/>
            <w:hideMark/>
          </w:tcPr>
          <w:p w14:paraId="2433616E" w14:textId="77777777" w:rsidR="007B49AE" w:rsidRPr="00565830" w:rsidRDefault="007B49AE" w:rsidP="00CC56D2">
            <w:pPr>
              <w:spacing w:after="0" w:line="240" w:lineRule="auto"/>
              <w:jc w:val="center"/>
              <w:rPr>
                <w:rFonts w:ascii="Arial" w:hAnsi="Arial" w:cs="Arial"/>
                <w:b/>
                <w:bCs/>
                <w:color w:val="FFFFFF"/>
                <w:sz w:val="14"/>
                <w:szCs w:val="14"/>
                <w:lang w:eastAsia="es-MX"/>
              </w:rPr>
            </w:pPr>
            <w:r w:rsidRPr="00565830">
              <w:rPr>
                <w:rFonts w:ascii="Arial" w:hAnsi="Arial" w:cs="Arial"/>
                <w:b/>
                <w:bCs/>
                <w:color w:val="FFFFFF"/>
                <w:sz w:val="14"/>
                <w:szCs w:val="14"/>
                <w:lang w:eastAsia="es-MX"/>
              </w:rPr>
              <w:t>¿Se complementa con el programa evaluado?</w:t>
            </w:r>
          </w:p>
        </w:tc>
        <w:tc>
          <w:tcPr>
            <w:tcW w:w="1089" w:type="dxa"/>
            <w:shd w:val="clear" w:color="000000" w:fill="366092"/>
            <w:vAlign w:val="center"/>
            <w:hideMark/>
          </w:tcPr>
          <w:p w14:paraId="622D8829" w14:textId="77777777" w:rsidR="007B49AE" w:rsidRPr="00565830" w:rsidRDefault="007B49AE" w:rsidP="00CC56D2">
            <w:pPr>
              <w:spacing w:after="0" w:line="240" w:lineRule="auto"/>
              <w:jc w:val="center"/>
              <w:rPr>
                <w:rFonts w:ascii="Arial" w:hAnsi="Arial" w:cs="Arial"/>
                <w:b/>
                <w:bCs/>
                <w:color w:val="FFFFFF"/>
                <w:sz w:val="14"/>
                <w:szCs w:val="14"/>
                <w:lang w:eastAsia="es-MX"/>
              </w:rPr>
            </w:pPr>
            <w:r w:rsidRPr="00565830">
              <w:rPr>
                <w:rFonts w:ascii="Arial" w:hAnsi="Arial" w:cs="Arial"/>
                <w:b/>
                <w:bCs/>
                <w:color w:val="FFFFFF"/>
                <w:sz w:val="14"/>
                <w:szCs w:val="14"/>
                <w:lang w:eastAsia="es-MX"/>
              </w:rPr>
              <w:t>Justificación</w:t>
            </w:r>
          </w:p>
        </w:tc>
      </w:tr>
      <w:tr w:rsidR="007B49AE" w:rsidRPr="00565830" w14:paraId="7DF6784A" w14:textId="77777777" w:rsidTr="00CC56D2">
        <w:trPr>
          <w:trHeight w:val="580"/>
        </w:trPr>
        <w:tc>
          <w:tcPr>
            <w:tcW w:w="1063" w:type="dxa"/>
            <w:shd w:val="clear" w:color="auto" w:fill="auto"/>
            <w:vAlign w:val="center"/>
            <w:hideMark/>
          </w:tcPr>
          <w:p w14:paraId="6DE26C5B"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 Prevención y Control de Enfermedades</w:t>
            </w:r>
          </w:p>
        </w:tc>
        <w:tc>
          <w:tcPr>
            <w:tcW w:w="932" w:type="dxa"/>
            <w:shd w:val="clear" w:color="auto" w:fill="auto"/>
            <w:noWrap/>
            <w:vAlign w:val="center"/>
            <w:hideMark/>
          </w:tcPr>
          <w:p w14:paraId="2263C4D0"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E043</w:t>
            </w:r>
          </w:p>
        </w:tc>
        <w:tc>
          <w:tcPr>
            <w:tcW w:w="1204" w:type="dxa"/>
            <w:shd w:val="clear" w:color="auto" w:fill="auto"/>
            <w:noWrap/>
            <w:vAlign w:val="center"/>
            <w:hideMark/>
          </w:tcPr>
          <w:p w14:paraId="68822CD0"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ISSSTE</w:t>
            </w:r>
          </w:p>
        </w:tc>
        <w:tc>
          <w:tcPr>
            <w:tcW w:w="1510" w:type="dxa"/>
            <w:shd w:val="clear" w:color="auto" w:fill="auto"/>
            <w:noWrap/>
            <w:vAlign w:val="center"/>
            <w:hideMark/>
          </w:tcPr>
          <w:p w14:paraId="64FE0BD1"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 xml:space="preserve">Disminuir la presencia de enfermedades transmisibles y no transmisibles o crónico degenerativas. La población beneficiaria corresponde a los diferentes grupos de edad del área de influencia y responsabilidad institucional (derechohabientes y no derechohabientes). El beneficio se ofrece tanto a través del Programa de Vacunación Universal, el cual es una política pública de salud que se lleva a cabo en todas las </w:t>
            </w:r>
            <w:r w:rsidRPr="00565830">
              <w:rPr>
                <w:rFonts w:ascii="Arial" w:hAnsi="Arial" w:cs="Arial"/>
                <w:color w:val="000000"/>
                <w:sz w:val="14"/>
                <w:szCs w:val="14"/>
                <w:lang w:eastAsia="es-MX"/>
              </w:rPr>
              <w:lastRenderedPageBreak/>
              <w:t xml:space="preserve">Instituciones del Sistema Nacional de Salud para lograr el control, eliminación y erradicación de las Enfermedades Prevenibles por Vacunación; así como a través de la realización de pruebas de detección de enfermedades </w:t>
            </w:r>
            <w:proofErr w:type="gramStart"/>
            <w:r w:rsidRPr="00565830">
              <w:rPr>
                <w:rFonts w:ascii="Arial" w:hAnsi="Arial" w:cs="Arial"/>
                <w:color w:val="000000"/>
                <w:sz w:val="14"/>
                <w:szCs w:val="14"/>
                <w:lang w:eastAsia="es-MX"/>
              </w:rPr>
              <w:t>crónico degenerativas</w:t>
            </w:r>
            <w:proofErr w:type="gramEnd"/>
            <w:r w:rsidRPr="00565830">
              <w:rPr>
                <w:rFonts w:ascii="Arial" w:hAnsi="Arial" w:cs="Arial"/>
                <w:color w:val="000000"/>
                <w:sz w:val="14"/>
                <w:szCs w:val="14"/>
                <w:lang w:eastAsia="es-MX"/>
              </w:rPr>
              <w:t xml:space="preserve"> a la población derechohabiente.</w:t>
            </w:r>
          </w:p>
        </w:tc>
        <w:tc>
          <w:tcPr>
            <w:tcW w:w="1413" w:type="dxa"/>
            <w:shd w:val="clear" w:color="auto" w:fill="auto"/>
            <w:noWrap/>
            <w:vAlign w:val="center"/>
            <w:hideMark/>
          </w:tcPr>
          <w:p w14:paraId="01182C1E"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lastRenderedPageBreak/>
              <w:t>Es el número de personas que se estima demandará los servicios otorgados en las unidades médicas del primer nivel de atención en el año de referencia.</w:t>
            </w:r>
          </w:p>
        </w:tc>
        <w:tc>
          <w:tcPr>
            <w:tcW w:w="1355" w:type="dxa"/>
            <w:shd w:val="clear" w:color="auto" w:fill="auto"/>
            <w:vAlign w:val="center"/>
            <w:hideMark/>
          </w:tcPr>
          <w:p w14:paraId="1761308D"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Vacunas y pruebas de detección</w:t>
            </w:r>
          </w:p>
        </w:tc>
        <w:tc>
          <w:tcPr>
            <w:tcW w:w="1021" w:type="dxa"/>
            <w:shd w:val="clear" w:color="auto" w:fill="auto"/>
            <w:noWrap/>
            <w:vAlign w:val="center"/>
            <w:hideMark/>
          </w:tcPr>
          <w:p w14:paraId="069046CD"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32</w:t>
            </w:r>
          </w:p>
          <w:p w14:paraId="67F8E094"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Entidades federativas</w:t>
            </w:r>
          </w:p>
        </w:tc>
        <w:tc>
          <w:tcPr>
            <w:tcW w:w="1056" w:type="dxa"/>
            <w:shd w:val="clear" w:color="auto" w:fill="auto"/>
            <w:noWrap/>
            <w:vAlign w:val="center"/>
            <w:hideMark/>
          </w:tcPr>
          <w:p w14:paraId="51CC7581"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ISSSTE</w:t>
            </w:r>
          </w:p>
        </w:tc>
        <w:tc>
          <w:tcPr>
            <w:tcW w:w="932" w:type="dxa"/>
            <w:shd w:val="clear" w:color="auto" w:fill="auto"/>
            <w:noWrap/>
            <w:vAlign w:val="center"/>
            <w:hideMark/>
          </w:tcPr>
          <w:p w14:paraId="2BC4AF08" w14:textId="77777777" w:rsidR="007B49AE" w:rsidRPr="00565830" w:rsidRDefault="007B49AE" w:rsidP="00CC56D2">
            <w:pPr>
              <w:spacing w:after="0" w:line="240" w:lineRule="auto"/>
              <w:jc w:val="center"/>
              <w:rPr>
                <w:rFonts w:ascii="Arial" w:hAnsi="Arial" w:cs="Arial"/>
                <w:i/>
                <w:color w:val="000000"/>
                <w:sz w:val="14"/>
                <w:szCs w:val="14"/>
                <w:lang w:eastAsia="es-MX"/>
              </w:rPr>
            </w:pPr>
            <w:r w:rsidRPr="00565830">
              <w:rPr>
                <w:rFonts w:ascii="Arial" w:hAnsi="Arial" w:cs="Arial"/>
                <w:i/>
                <w:color w:val="000000"/>
                <w:sz w:val="14"/>
                <w:szCs w:val="14"/>
                <w:lang w:eastAsia="es-MX"/>
              </w:rPr>
              <w:t>NO</w:t>
            </w:r>
          </w:p>
        </w:tc>
        <w:tc>
          <w:tcPr>
            <w:tcW w:w="1172" w:type="dxa"/>
            <w:shd w:val="clear" w:color="auto" w:fill="auto"/>
            <w:noWrap/>
            <w:vAlign w:val="center"/>
            <w:hideMark/>
          </w:tcPr>
          <w:p w14:paraId="337B7F3A" w14:textId="77777777" w:rsidR="007B49AE" w:rsidRPr="00565830" w:rsidRDefault="007B49AE" w:rsidP="00CC56D2">
            <w:pPr>
              <w:spacing w:after="0" w:line="240" w:lineRule="auto"/>
              <w:jc w:val="center"/>
              <w:rPr>
                <w:rFonts w:ascii="Arial" w:hAnsi="Arial" w:cs="Arial"/>
                <w:i/>
                <w:color w:val="000000"/>
                <w:sz w:val="14"/>
                <w:szCs w:val="14"/>
                <w:lang w:eastAsia="es-MX"/>
              </w:rPr>
            </w:pPr>
            <w:r w:rsidRPr="00565830">
              <w:rPr>
                <w:rFonts w:ascii="Arial" w:hAnsi="Arial" w:cs="Arial"/>
                <w:i/>
                <w:color w:val="000000"/>
                <w:sz w:val="14"/>
                <w:szCs w:val="14"/>
                <w:lang w:eastAsia="es-MX"/>
              </w:rPr>
              <w:t>SI</w:t>
            </w:r>
          </w:p>
        </w:tc>
        <w:tc>
          <w:tcPr>
            <w:tcW w:w="1089" w:type="dxa"/>
            <w:shd w:val="clear" w:color="auto" w:fill="auto"/>
            <w:vAlign w:val="center"/>
            <w:hideMark/>
          </w:tcPr>
          <w:p w14:paraId="23CCAC30"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La población objetivo es la misma.</w:t>
            </w:r>
          </w:p>
        </w:tc>
      </w:tr>
      <w:tr w:rsidR="007B49AE" w:rsidRPr="00565830" w14:paraId="123BC6EC" w14:textId="77777777" w:rsidTr="00CC56D2">
        <w:trPr>
          <w:trHeight w:val="580"/>
        </w:trPr>
        <w:tc>
          <w:tcPr>
            <w:tcW w:w="1063" w:type="dxa"/>
            <w:shd w:val="clear" w:color="auto" w:fill="auto"/>
            <w:vAlign w:val="center"/>
            <w:hideMark/>
          </w:tcPr>
          <w:p w14:paraId="73719A54"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 Prevención y control de enfermedades</w:t>
            </w:r>
          </w:p>
        </w:tc>
        <w:tc>
          <w:tcPr>
            <w:tcW w:w="932" w:type="dxa"/>
            <w:shd w:val="clear" w:color="auto" w:fill="auto"/>
            <w:vAlign w:val="center"/>
            <w:hideMark/>
          </w:tcPr>
          <w:p w14:paraId="683A74A3"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E001</w:t>
            </w:r>
          </w:p>
        </w:tc>
        <w:tc>
          <w:tcPr>
            <w:tcW w:w="1204" w:type="dxa"/>
            <w:shd w:val="clear" w:color="auto" w:fill="auto"/>
            <w:vAlign w:val="center"/>
            <w:hideMark/>
          </w:tcPr>
          <w:p w14:paraId="25996F40"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IMSS</w:t>
            </w:r>
          </w:p>
        </w:tc>
        <w:tc>
          <w:tcPr>
            <w:tcW w:w="1510" w:type="dxa"/>
            <w:shd w:val="clear" w:color="auto" w:fill="auto"/>
            <w:vAlign w:val="center"/>
            <w:hideMark/>
          </w:tcPr>
          <w:p w14:paraId="0A4DC285"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 xml:space="preserve"> El objetivo del programa es contribuir a proteger de los riesgos y daños a la salud más frecuentes a la población derechohabiente del Instituto Mexicano del Seguro Social (IMSS), mediante el otorgamiento de un paquete de acciones preventivas por grupo de edad y sexo. El paquete de acciones preventivas incluye actividades de promoción de la salud, de vigilancia del estado de nutrición, de prevención y detección de enfermedades, así como de salud sexual y reproductiva, mismas que son otorgadas de manera anual a partir de los dos </w:t>
            </w:r>
            <w:proofErr w:type="gramStart"/>
            <w:r w:rsidRPr="00565830">
              <w:rPr>
                <w:rFonts w:ascii="Arial" w:hAnsi="Arial" w:cs="Arial"/>
                <w:color w:val="000000"/>
                <w:sz w:val="14"/>
                <w:szCs w:val="14"/>
                <w:lang w:eastAsia="es-MX"/>
              </w:rPr>
              <w:t>años de edad</w:t>
            </w:r>
            <w:proofErr w:type="gramEnd"/>
            <w:r w:rsidRPr="00565830">
              <w:rPr>
                <w:rFonts w:ascii="Arial" w:hAnsi="Arial" w:cs="Arial"/>
                <w:color w:val="000000"/>
                <w:sz w:val="14"/>
                <w:szCs w:val="14"/>
                <w:lang w:eastAsia="es-MX"/>
              </w:rPr>
              <w:t xml:space="preserve">, generalmente en una sola atención, a través del Chequeo PREVENIMSS; mientras que en los menores de un año estas acciones se brindan cada dos </w:t>
            </w:r>
            <w:r w:rsidRPr="00565830">
              <w:rPr>
                <w:rFonts w:ascii="Arial" w:hAnsi="Arial" w:cs="Arial"/>
                <w:color w:val="000000"/>
                <w:sz w:val="14"/>
                <w:szCs w:val="14"/>
                <w:lang w:eastAsia="es-MX"/>
              </w:rPr>
              <w:lastRenderedPageBreak/>
              <w:t>meses y a las niñas y niños de un año de edad cada seis meses. Las actividades de promoción de la salud incluyen educación para el cuidado de la salud, actividad física, asesorías en salud bucal, mental y reproductiva; prevención de adicciones, accidentes y violencia; cultura de la donación e información sobre enfermedades para cada sexo y grupo de edad. La vigilancia del estado nutricional incluye actividades de seguimiento de la estatura, edad y peso.</w:t>
            </w:r>
          </w:p>
        </w:tc>
        <w:tc>
          <w:tcPr>
            <w:tcW w:w="1413" w:type="dxa"/>
            <w:shd w:val="clear" w:color="auto" w:fill="auto"/>
            <w:vAlign w:val="center"/>
            <w:hideMark/>
          </w:tcPr>
          <w:p w14:paraId="642C1ABE"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lastRenderedPageBreak/>
              <w:t> Población derechohabiente del IMSS que además de su adscripción a unidad de medicina familiar, tienen asignado un consultorio y turno. La cifra se calcula con base en los registros administrativos del IMSS y que refiere al número de casos de derechohabientes vigentes en un mes en particular y adscritos a clínicas y hospitales con medicina familiar en el primer nivel de atención.</w:t>
            </w:r>
          </w:p>
        </w:tc>
        <w:tc>
          <w:tcPr>
            <w:tcW w:w="1355" w:type="dxa"/>
            <w:shd w:val="clear" w:color="auto" w:fill="auto"/>
            <w:vAlign w:val="center"/>
            <w:hideMark/>
          </w:tcPr>
          <w:p w14:paraId="0B0ACE3B"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 Actividades de promoción de la salud, de vigilancia del estado de nutrición, de prevención y detección de enfermedades</w:t>
            </w:r>
          </w:p>
        </w:tc>
        <w:tc>
          <w:tcPr>
            <w:tcW w:w="1021" w:type="dxa"/>
            <w:shd w:val="clear" w:color="auto" w:fill="auto"/>
            <w:vAlign w:val="center"/>
            <w:hideMark/>
          </w:tcPr>
          <w:p w14:paraId="389673CB"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32</w:t>
            </w:r>
          </w:p>
          <w:p w14:paraId="7EE4FBB9"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Entidades Federativas </w:t>
            </w:r>
          </w:p>
        </w:tc>
        <w:tc>
          <w:tcPr>
            <w:tcW w:w="1056" w:type="dxa"/>
            <w:shd w:val="clear" w:color="auto" w:fill="auto"/>
            <w:noWrap/>
            <w:vAlign w:val="center"/>
            <w:hideMark/>
          </w:tcPr>
          <w:p w14:paraId="3199E543"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IMSS </w:t>
            </w:r>
          </w:p>
        </w:tc>
        <w:tc>
          <w:tcPr>
            <w:tcW w:w="932" w:type="dxa"/>
            <w:shd w:val="clear" w:color="auto" w:fill="auto"/>
            <w:noWrap/>
            <w:vAlign w:val="center"/>
            <w:hideMark/>
          </w:tcPr>
          <w:p w14:paraId="77FD1B52" w14:textId="77777777" w:rsidR="007B49AE" w:rsidRPr="00565830" w:rsidRDefault="007B49AE" w:rsidP="00CC56D2">
            <w:pPr>
              <w:spacing w:after="0" w:line="240" w:lineRule="auto"/>
              <w:jc w:val="center"/>
              <w:rPr>
                <w:rFonts w:ascii="Arial" w:hAnsi="Arial" w:cs="Arial"/>
                <w:i/>
                <w:color w:val="000000"/>
                <w:sz w:val="14"/>
                <w:szCs w:val="14"/>
                <w:lang w:eastAsia="es-MX"/>
              </w:rPr>
            </w:pPr>
            <w:r w:rsidRPr="00565830">
              <w:rPr>
                <w:rFonts w:ascii="Arial" w:hAnsi="Arial" w:cs="Arial"/>
                <w:i/>
                <w:color w:val="000000"/>
                <w:sz w:val="14"/>
                <w:szCs w:val="14"/>
                <w:lang w:eastAsia="es-MX"/>
              </w:rPr>
              <w:t>NO</w:t>
            </w:r>
          </w:p>
        </w:tc>
        <w:tc>
          <w:tcPr>
            <w:tcW w:w="1172" w:type="dxa"/>
            <w:shd w:val="clear" w:color="auto" w:fill="auto"/>
            <w:noWrap/>
            <w:vAlign w:val="center"/>
            <w:hideMark/>
          </w:tcPr>
          <w:p w14:paraId="440E0CC7"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SI </w:t>
            </w:r>
          </w:p>
        </w:tc>
        <w:tc>
          <w:tcPr>
            <w:tcW w:w="1089" w:type="dxa"/>
            <w:shd w:val="clear" w:color="auto" w:fill="auto"/>
            <w:vAlign w:val="center"/>
            <w:hideMark/>
          </w:tcPr>
          <w:p w14:paraId="6A0D0F06"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La población objetivo es la misma.</w:t>
            </w:r>
          </w:p>
          <w:p w14:paraId="12064621" w14:textId="77777777" w:rsidR="007B49AE" w:rsidRPr="00565830" w:rsidRDefault="007B49AE" w:rsidP="00CC56D2">
            <w:pPr>
              <w:spacing w:after="0" w:line="240" w:lineRule="auto"/>
              <w:rPr>
                <w:rFonts w:ascii="Arial" w:hAnsi="Arial" w:cs="Arial"/>
                <w:color w:val="000000"/>
                <w:sz w:val="14"/>
                <w:szCs w:val="14"/>
                <w:lang w:eastAsia="es-MX"/>
              </w:rPr>
            </w:pPr>
          </w:p>
          <w:p w14:paraId="15BD1783"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 xml:space="preserve">El Programa presupuestario U009 también cuenta con acciones </w:t>
            </w:r>
            <w:proofErr w:type="gramStart"/>
            <w:r w:rsidRPr="00565830">
              <w:rPr>
                <w:rFonts w:ascii="Arial" w:hAnsi="Arial" w:cs="Arial"/>
                <w:color w:val="000000"/>
                <w:sz w:val="14"/>
                <w:szCs w:val="14"/>
                <w:lang w:eastAsia="es-MX"/>
              </w:rPr>
              <w:t>de  promoción</w:t>
            </w:r>
            <w:proofErr w:type="gramEnd"/>
            <w:r w:rsidRPr="00565830">
              <w:rPr>
                <w:rFonts w:ascii="Arial" w:hAnsi="Arial" w:cs="Arial"/>
                <w:color w:val="000000"/>
                <w:sz w:val="14"/>
                <w:szCs w:val="14"/>
                <w:lang w:eastAsia="es-MX"/>
              </w:rPr>
              <w:t xml:space="preserve"> de la salud y prevención y detección de enfermedades   </w:t>
            </w:r>
          </w:p>
        </w:tc>
      </w:tr>
      <w:tr w:rsidR="007B49AE" w:rsidRPr="00565830" w14:paraId="2E8FA79F" w14:textId="77777777" w:rsidTr="00CC56D2">
        <w:trPr>
          <w:trHeight w:val="580"/>
        </w:trPr>
        <w:tc>
          <w:tcPr>
            <w:tcW w:w="1063" w:type="dxa"/>
            <w:shd w:val="clear" w:color="auto" w:fill="auto"/>
            <w:vAlign w:val="center"/>
          </w:tcPr>
          <w:p w14:paraId="1A4B0668"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IMSS-Prospera</w:t>
            </w:r>
          </w:p>
        </w:tc>
        <w:tc>
          <w:tcPr>
            <w:tcW w:w="932" w:type="dxa"/>
            <w:shd w:val="clear" w:color="auto" w:fill="auto"/>
            <w:vAlign w:val="center"/>
          </w:tcPr>
          <w:p w14:paraId="4B417FE0"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S038</w:t>
            </w:r>
          </w:p>
        </w:tc>
        <w:tc>
          <w:tcPr>
            <w:tcW w:w="1204" w:type="dxa"/>
            <w:shd w:val="clear" w:color="auto" w:fill="auto"/>
            <w:vAlign w:val="center"/>
          </w:tcPr>
          <w:p w14:paraId="2AD381C7"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IMSS</w:t>
            </w:r>
          </w:p>
        </w:tc>
        <w:tc>
          <w:tcPr>
            <w:tcW w:w="1510" w:type="dxa"/>
            <w:shd w:val="clear" w:color="auto" w:fill="auto"/>
            <w:vAlign w:val="center"/>
          </w:tcPr>
          <w:p w14:paraId="0F267B20"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 xml:space="preserve">El Programa IMSS-PROSPERA contribuye a cerrar las brechas existentes en salud entre los diferentes grupos sociales y regiones del país mediante un Modelo de Atención Integral a la Salud que vincula las acciones médicas con las comunitarias y cuya administración está a cargo del Instituto Mexicano del Seguro Social. IMSS PROSPERA otorga apoyos permanentes en especie a través de los servicios de salud en las unidades médicas y mediante asesorías y orientación a la red comunitaria del Programa (parteras rurales, voluntarios </w:t>
            </w:r>
            <w:r w:rsidRPr="00565830">
              <w:rPr>
                <w:rFonts w:ascii="Arial" w:hAnsi="Arial" w:cs="Arial"/>
                <w:color w:val="000000"/>
                <w:sz w:val="14"/>
                <w:szCs w:val="14"/>
                <w:lang w:eastAsia="es-MX"/>
              </w:rPr>
              <w:lastRenderedPageBreak/>
              <w:t>de salud y agentes comunitarios de salud). Sus servicios están dirigidos a la población no cubierta por ningún sistema de seguridad social, en su mayoría residente de localidades de alta y muy alta marginación; se otorgan de manera gratuita y están abiertos a la población que lo solicite sin criterios de restricción o elegibilidad en las unidades de primero y segundo nivel de atención.</w:t>
            </w:r>
          </w:p>
        </w:tc>
        <w:tc>
          <w:tcPr>
            <w:tcW w:w="1413" w:type="dxa"/>
            <w:shd w:val="clear" w:color="auto" w:fill="auto"/>
            <w:vAlign w:val="center"/>
          </w:tcPr>
          <w:p w14:paraId="524E2735"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lastRenderedPageBreak/>
              <w:t xml:space="preserve">La población objetivo del Programa forma parte del Sistema de Protección Social en Salud. Son </w:t>
            </w:r>
            <w:proofErr w:type="gramStart"/>
            <w:r w:rsidRPr="00565830">
              <w:rPr>
                <w:rFonts w:ascii="Arial" w:hAnsi="Arial" w:cs="Arial"/>
                <w:color w:val="000000"/>
                <w:sz w:val="14"/>
                <w:szCs w:val="14"/>
                <w:lang w:eastAsia="es-MX"/>
              </w:rPr>
              <w:t>aquéllas</w:t>
            </w:r>
            <w:proofErr w:type="gramEnd"/>
            <w:r w:rsidRPr="00565830">
              <w:rPr>
                <w:rFonts w:ascii="Arial" w:hAnsi="Arial" w:cs="Arial"/>
                <w:color w:val="000000"/>
                <w:sz w:val="14"/>
                <w:szCs w:val="14"/>
                <w:lang w:eastAsia="es-MX"/>
              </w:rPr>
              <w:t xml:space="preserve"> personas no cubiertas por ningún sistema de seguridad social, en su mayoría residentes de localidades de alta y muy alta marginación, en las que está presente el Programa.</w:t>
            </w:r>
          </w:p>
        </w:tc>
        <w:tc>
          <w:tcPr>
            <w:tcW w:w="1355" w:type="dxa"/>
            <w:shd w:val="clear" w:color="auto" w:fill="auto"/>
            <w:vAlign w:val="center"/>
          </w:tcPr>
          <w:p w14:paraId="1B42F905"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El programa otorga apoyos permanentes en especie a través de los servicios de salud en las unidades médicas y mediante asesorías y orientación a la red comunitaria del Programa (parteras rurales, voluntarios de salud y agentes comunitarios de salud).</w:t>
            </w:r>
          </w:p>
        </w:tc>
        <w:tc>
          <w:tcPr>
            <w:tcW w:w="1021" w:type="dxa"/>
            <w:shd w:val="clear" w:color="auto" w:fill="auto"/>
            <w:vAlign w:val="center"/>
          </w:tcPr>
          <w:p w14:paraId="7357E358"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32</w:t>
            </w:r>
          </w:p>
          <w:p w14:paraId="0DB99F75"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Entidades Federativa</w:t>
            </w:r>
          </w:p>
        </w:tc>
        <w:tc>
          <w:tcPr>
            <w:tcW w:w="1056" w:type="dxa"/>
            <w:shd w:val="clear" w:color="auto" w:fill="auto"/>
            <w:noWrap/>
            <w:vAlign w:val="center"/>
          </w:tcPr>
          <w:p w14:paraId="252701FB"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IMSS</w:t>
            </w:r>
          </w:p>
        </w:tc>
        <w:tc>
          <w:tcPr>
            <w:tcW w:w="932" w:type="dxa"/>
            <w:shd w:val="clear" w:color="auto" w:fill="auto"/>
            <w:noWrap/>
            <w:vAlign w:val="center"/>
          </w:tcPr>
          <w:p w14:paraId="6483AFAE" w14:textId="77777777" w:rsidR="007B49AE" w:rsidRPr="00565830" w:rsidRDefault="007B49AE" w:rsidP="00CC56D2">
            <w:pPr>
              <w:spacing w:after="0" w:line="240" w:lineRule="auto"/>
              <w:jc w:val="center"/>
              <w:rPr>
                <w:rFonts w:ascii="Arial" w:hAnsi="Arial" w:cs="Arial"/>
                <w:i/>
                <w:color w:val="000000"/>
                <w:sz w:val="14"/>
                <w:szCs w:val="14"/>
                <w:lang w:eastAsia="es-MX"/>
              </w:rPr>
            </w:pPr>
            <w:r w:rsidRPr="00565830">
              <w:rPr>
                <w:rFonts w:ascii="Arial" w:hAnsi="Arial" w:cs="Arial"/>
                <w:i/>
                <w:color w:val="000000"/>
                <w:sz w:val="14"/>
                <w:szCs w:val="14"/>
                <w:lang w:eastAsia="es-MX"/>
              </w:rPr>
              <w:t>NO</w:t>
            </w:r>
          </w:p>
        </w:tc>
        <w:tc>
          <w:tcPr>
            <w:tcW w:w="1172" w:type="dxa"/>
            <w:shd w:val="clear" w:color="auto" w:fill="auto"/>
            <w:noWrap/>
            <w:vAlign w:val="center"/>
          </w:tcPr>
          <w:p w14:paraId="2AF79A94" w14:textId="77777777" w:rsidR="007B49AE" w:rsidRPr="00565830" w:rsidRDefault="007B49AE" w:rsidP="00CC56D2">
            <w:pPr>
              <w:spacing w:after="0" w:line="240" w:lineRule="auto"/>
              <w:jc w:val="center"/>
              <w:rPr>
                <w:rFonts w:ascii="Arial" w:hAnsi="Arial" w:cs="Arial"/>
                <w:i/>
                <w:color w:val="000000"/>
                <w:sz w:val="14"/>
                <w:szCs w:val="14"/>
                <w:lang w:eastAsia="es-MX"/>
              </w:rPr>
            </w:pPr>
            <w:r w:rsidRPr="00565830">
              <w:rPr>
                <w:rFonts w:ascii="Arial" w:hAnsi="Arial" w:cs="Arial"/>
                <w:i/>
                <w:color w:val="000000"/>
                <w:sz w:val="14"/>
                <w:szCs w:val="14"/>
                <w:lang w:eastAsia="es-MX"/>
              </w:rPr>
              <w:t>SI</w:t>
            </w:r>
          </w:p>
        </w:tc>
        <w:tc>
          <w:tcPr>
            <w:tcW w:w="1089" w:type="dxa"/>
            <w:shd w:val="clear" w:color="auto" w:fill="auto"/>
            <w:vAlign w:val="center"/>
          </w:tcPr>
          <w:p w14:paraId="77F1D69C" w14:textId="77777777" w:rsidR="007B49AE" w:rsidRPr="00565830" w:rsidRDefault="007B49AE" w:rsidP="00CC56D2">
            <w:pPr>
              <w:spacing w:after="0" w:line="240" w:lineRule="auto"/>
              <w:rPr>
                <w:rFonts w:ascii="Arial" w:hAnsi="Arial" w:cs="Arial"/>
                <w:color w:val="000000"/>
                <w:sz w:val="14"/>
                <w:szCs w:val="14"/>
                <w:lang w:eastAsia="es-MX"/>
              </w:rPr>
            </w:pPr>
          </w:p>
          <w:p w14:paraId="13C31D61" w14:textId="77777777" w:rsidR="007B49AE" w:rsidRPr="00565830" w:rsidRDefault="007B49AE" w:rsidP="00CC56D2">
            <w:pPr>
              <w:spacing w:after="0" w:line="240" w:lineRule="auto"/>
              <w:rPr>
                <w:rFonts w:ascii="Arial" w:hAnsi="Arial" w:cs="Arial"/>
                <w:color w:val="000000"/>
                <w:sz w:val="14"/>
                <w:szCs w:val="14"/>
                <w:lang w:eastAsia="es-MX"/>
              </w:rPr>
            </w:pPr>
          </w:p>
          <w:p w14:paraId="3F4ACBB5" w14:textId="77777777" w:rsidR="007B49AE" w:rsidRPr="00565830" w:rsidRDefault="007B49AE" w:rsidP="00CC56D2">
            <w:pPr>
              <w:spacing w:after="0" w:line="240" w:lineRule="auto"/>
              <w:rPr>
                <w:rFonts w:ascii="Arial" w:hAnsi="Arial" w:cs="Arial"/>
                <w:color w:val="000000"/>
                <w:sz w:val="14"/>
                <w:szCs w:val="14"/>
                <w:lang w:eastAsia="es-MX"/>
              </w:rPr>
            </w:pPr>
          </w:p>
          <w:p w14:paraId="3375C4CF"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La población objetivo es la misma.</w:t>
            </w:r>
          </w:p>
          <w:p w14:paraId="480BFBCF" w14:textId="77777777" w:rsidR="007B49AE" w:rsidRPr="00565830" w:rsidRDefault="007B49AE" w:rsidP="00CC56D2">
            <w:pPr>
              <w:spacing w:after="0" w:line="240" w:lineRule="auto"/>
              <w:rPr>
                <w:rFonts w:ascii="Arial" w:hAnsi="Arial" w:cs="Arial"/>
                <w:color w:val="000000"/>
                <w:sz w:val="14"/>
                <w:szCs w:val="14"/>
                <w:lang w:eastAsia="es-MX"/>
              </w:rPr>
            </w:pPr>
          </w:p>
          <w:p w14:paraId="0EC82066"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 xml:space="preserve">El Programa presupuestario U009 podría fortalecer sus acciones de </w:t>
            </w:r>
            <w:proofErr w:type="gramStart"/>
            <w:r w:rsidRPr="00565830">
              <w:rPr>
                <w:rFonts w:ascii="Arial" w:hAnsi="Arial" w:cs="Arial"/>
                <w:color w:val="000000"/>
                <w:sz w:val="14"/>
                <w:szCs w:val="14"/>
                <w:lang w:eastAsia="es-MX"/>
              </w:rPr>
              <w:t>educación,  prevención</w:t>
            </w:r>
            <w:proofErr w:type="gramEnd"/>
            <w:r w:rsidRPr="00565830">
              <w:rPr>
                <w:rFonts w:ascii="Arial" w:hAnsi="Arial" w:cs="Arial"/>
                <w:color w:val="000000"/>
                <w:sz w:val="14"/>
                <w:szCs w:val="14"/>
                <w:lang w:eastAsia="es-MX"/>
              </w:rPr>
              <w:t xml:space="preserve"> y promoción de la salud mediante el uso de la Red Comunitaria del IMSS-Prospera.</w:t>
            </w:r>
          </w:p>
        </w:tc>
      </w:tr>
      <w:tr w:rsidR="007B49AE" w:rsidRPr="00565830" w14:paraId="4CF264AF" w14:textId="77777777" w:rsidTr="00CC56D2">
        <w:trPr>
          <w:trHeight w:val="580"/>
        </w:trPr>
        <w:tc>
          <w:tcPr>
            <w:tcW w:w="1063" w:type="dxa"/>
            <w:shd w:val="clear" w:color="auto" w:fill="auto"/>
            <w:vAlign w:val="center"/>
          </w:tcPr>
          <w:p w14:paraId="581E4BF0"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PROSPERA Programa de Inclusión Social</w:t>
            </w:r>
          </w:p>
        </w:tc>
        <w:tc>
          <w:tcPr>
            <w:tcW w:w="932" w:type="dxa"/>
            <w:shd w:val="clear" w:color="auto" w:fill="auto"/>
            <w:vAlign w:val="center"/>
          </w:tcPr>
          <w:p w14:paraId="1D54137A"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S072</w:t>
            </w:r>
          </w:p>
        </w:tc>
        <w:tc>
          <w:tcPr>
            <w:tcW w:w="1204" w:type="dxa"/>
            <w:shd w:val="clear" w:color="auto" w:fill="auto"/>
            <w:vAlign w:val="center"/>
          </w:tcPr>
          <w:p w14:paraId="3D7BE844"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SEDESOL</w:t>
            </w:r>
          </w:p>
          <w:p w14:paraId="558A5457" w14:textId="77777777" w:rsidR="007B49AE" w:rsidRPr="00565830" w:rsidRDefault="007B49AE" w:rsidP="00CC56D2">
            <w:pPr>
              <w:spacing w:after="0" w:line="240" w:lineRule="auto"/>
              <w:jc w:val="center"/>
              <w:rPr>
                <w:rFonts w:ascii="Arial" w:hAnsi="Arial" w:cs="Arial"/>
                <w:color w:val="000000"/>
                <w:sz w:val="14"/>
                <w:szCs w:val="14"/>
                <w:lang w:eastAsia="es-MX"/>
              </w:rPr>
            </w:pPr>
          </w:p>
          <w:p w14:paraId="36D26D11"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(AHORA SECRETARÍA DEL BIENESTAR)</w:t>
            </w:r>
          </w:p>
        </w:tc>
        <w:tc>
          <w:tcPr>
            <w:tcW w:w="1510" w:type="dxa"/>
            <w:shd w:val="clear" w:color="auto" w:fill="auto"/>
            <w:vAlign w:val="center"/>
          </w:tcPr>
          <w:p w14:paraId="41AEE863"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 xml:space="preserve">El objetivo general de PROSPERA Programa de Inclusión Social es contribuir a fortalecer el cumplimiento efectivo de los derechos sociales que potencien las capacidades de las personas en situación de pobreza, a través de acciones que amplíen sus capacidades en alimentación, salud, educación y mejoren su acceso a otras dimensiones del bienestar.  Los bienes y servicios que ofrece el Programa se dividen en los siguientes componentes: 1) alimentario (apoyos monetarios mensuales); 2) salud (acciones de promoción de la salud y apoyo monetario mensual para adultos mayores, en tanto no </w:t>
            </w:r>
            <w:r w:rsidRPr="00565830">
              <w:rPr>
                <w:rFonts w:ascii="Arial" w:hAnsi="Arial" w:cs="Arial"/>
                <w:color w:val="000000"/>
                <w:sz w:val="14"/>
                <w:szCs w:val="14"/>
                <w:lang w:eastAsia="es-MX"/>
              </w:rPr>
              <w:lastRenderedPageBreak/>
              <w:t>sean atendidos por el Programa Pensión para Adultos Mayores); 3) educación (becas con entrega bimestral y apoyo para útiles escolares) y 4) vinculación, a través de esquemas de inclusión social, laboral, financiera y productiva. El esquema de apoyo alimentario opera con y sin corresponsabilidad: bajo el primer esquema, las familias adquieren compromisos relacionados con la asistencia escolar y acciones de salud para consultas médicas, autocuidado y asesorías nutricionales, cuyo cumplimiento les permite acceder a los apoyos educativos y de salud.</w:t>
            </w:r>
          </w:p>
        </w:tc>
        <w:tc>
          <w:tcPr>
            <w:tcW w:w="1413" w:type="dxa"/>
            <w:shd w:val="clear" w:color="auto" w:fill="auto"/>
            <w:vAlign w:val="center"/>
          </w:tcPr>
          <w:p w14:paraId="6E15F52E"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lastRenderedPageBreak/>
              <w:t>Hogares con ingreso per cápita estimado inferior a la Línea de Bienestar Mínimo (LBM), cuyas condiciones socioeconómicas y de ingreso impiden desarrollar las capacidades de sus integrantes, específicamente en materia de alimentación, salud y educación.</w:t>
            </w:r>
          </w:p>
        </w:tc>
        <w:tc>
          <w:tcPr>
            <w:tcW w:w="1355" w:type="dxa"/>
            <w:shd w:val="clear" w:color="auto" w:fill="auto"/>
            <w:vAlign w:val="center"/>
          </w:tcPr>
          <w:p w14:paraId="5B6BD008"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 xml:space="preserve">Los bienes y servicios que ofrece el Programa se dividen en los siguientes componentes: 1) alimentario (apoyos monetarios mensuales); 2) salud (acciones de promoción de la salud y apoyo monetario mensual para adultos mayores, en tanto no sean atendidos por el Programa Pensión para Adultos Mayores); 3) educación (becas con entrega bimestral y apoyo para útiles escolares) y 4) vinculación, a través de esquemas de inclusión social, laboral, financiera y productiva. El esquema de apoyo alimentario opera </w:t>
            </w:r>
            <w:r w:rsidRPr="00565830">
              <w:rPr>
                <w:rFonts w:ascii="Arial" w:hAnsi="Arial" w:cs="Arial"/>
                <w:color w:val="000000"/>
                <w:sz w:val="14"/>
                <w:szCs w:val="14"/>
                <w:lang w:eastAsia="es-MX"/>
              </w:rPr>
              <w:lastRenderedPageBreak/>
              <w:t>con y sin corresponsabilidad: bajo el primer esquema, las familias adquieren compromisos relacionados con la asistencia escolar y acciones de salud para consultas médicas, autocuidado y asesorías nutricionales, cuyo cumplimiento les permite acceder a los apoyos educativos y de salud.</w:t>
            </w:r>
          </w:p>
        </w:tc>
        <w:tc>
          <w:tcPr>
            <w:tcW w:w="1021" w:type="dxa"/>
            <w:shd w:val="clear" w:color="auto" w:fill="auto"/>
            <w:vAlign w:val="center"/>
          </w:tcPr>
          <w:p w14:paraId="5218B984"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lastRenderedPageBreak/>
              <w:t>32</w:t>
            </w:r>
          </w:p>
          <w:p w14:paraId="1991EB66"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Entidades Federativas</w:t>
            </w:r>
          </w:p>
        </w:tc>
        <w:tc>
          <w:tcPr>
            <w:tcW w:w="1056" w:type="dxa"/>
            <w:shd w:val="clear" w:color="auto" w:fill="auto"/>
            <w:noWrap/>
            <w:vAlign w:val="center"/>
          </w:tcPr>
          <w:p w14:paraId="0E0077DB"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SEDESOL</w:t>
            </w:r>
          </w:p>
          <w:p w14:paraId="4302D131" w14:textId="77777777" w:rsidR="007B49AE" w:rsidRPr="00565830" w:rsidRDefault="007B49AE" w:rsidP="00CC56D2">
            <w:pPr>
              <w:spacing w:after="0" w:line="240" w:lineRule="auto"/>
              <w:jc w:val="center"/>
              <w:rPr>
                <w:rFonts w:ascii="Arial" w:hAnsi="Arial" w:cs="Arial"/>
                <w:color w:val="000000"/>
                <w:sz w:val="14"/>
                <w:szCs w:val="14"/>
                <w:lang w:eastAsia="es-MX"/>
              </w:rPr>
            </w:pPr>
          </w:p>
          <w:p w14:paraId="5E202D53"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(AHORA SECRETARÍA DEL BIENESTAR)</w:t>
            </w:r>
          </w:p>
        </w:tc>
        <w:tc>
          <w:tcPr>
            <w:tcW w:w="932" w:type="dxa"/>
            <w:shd w:val="clear" w:color="auto" w:fill="auto"/>
            <w:noWrap/>
            <w:vAlign w:val="center"/>
          </w:tcPr>
          <w:p w14:paraId="1377B1E8" w14:textId="77777777" w:rsidR="007B49AE" w:rsidRPr="00565830" w:rsidRDefault="007B49AE" w:rsidP="00CC56D2">
            <w:pPr>
              <w:spacing w:after="0" w:line="240" w:lineRule="auto"/>
              <w:jc w:val="center"/>
              <w:rPr>
                <w:rFonts w:ascii="Arial" w:hAnsi="Arial" w:cs="Arial"/>
                <w:i/>
                <w:color w:val="000000"/>
                <w:sz w:val="14"/>
                <w:szCs w:val="14"/>
                <w:lang w:eastAsia="es-MX"/>
              </w:rPr>
            </w:pPr>
            <w:r w:rsidRPr="00565830">
              <w:rPr>
                <w:rFonts w:ascii="Arial" w:hAnsi="Arial" w:cs="Arial"/>
                <w:i/>
                <w:color w:val="000000"/>
                <w:sz w:val="14"/>
                <w:szCs w:val="14"/>
                <w:lang w:eastAsia="es-MX"/>
              </w:rPr>
              <w:t>NO</w:t>
            </w:r>
          </w:p>
        </w:tc>
        <w:tc>
          <w:tcPr>
            <w:tcW w:w="1172" w:type="dxa"/>
            <w:shd w:val="clear" w:color="auto" w:fill="auto"/>
            <w:noWrap/>
            <w:vAlign w:val="center"/>
          </w:tcPr>
          <w:p w14:paraId="71F0C235" w14:textId="77777777" w:rsidR="007B49AE" w:rsidRPr="00565830" w:rsidRDefault="007B49AE" w:rsidP="00CC56D2">
            <w:pPr>
              <w:spacing w:after="0" w:line="240" w:lineRule="auto"/>
              <w:jc w:val="center"/>
              <w:rPr>
                <w:rFonts w:ascii="Arial" w:hAnsi="Arial" w:cs="Arial"/>
                <w:i/>
                <w:color w:val="000000"/>
                <w:sz w:val="14"/>
                <w:szCs w:val="14"/>
                <w:lang w:eastAsia="es-MX"/>
              </w:rPr>
            </w:pPr>
            <w:r w:rsidRPr="00565830">
              <w:rPr>
                <w:rFonts w:ascii="Arial" w:hAnsi="Arial" w:cs="Arial"/>
                <w:i/>
                <w:color w:val="000000"/>
                <w:sz w:val="14"/>
                <w:szCs w:val="14"/>
                <w:lang w:eastAsia="es-MX"/>
              </w:rPr>
              <w:t>SI</w:t>
            </w:r>
          </w:p>
        </w:tc>
        <w:tc>
          <w:tcPr>
            <w:tcW w:w="1089" w:type="dxa"/>
            <w:shd w:val="clear" w:color="auto" w:fill="auto"/>
            <w:vAlign w:val="center"/>
          </w:tcPr>
          <w:p w14:paraId="3C575C8C"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La población objetivo es la misma.</w:t>
            </w:r>
          </w:p>
          <w:p w14:paraId="7E8632E8" w14:textId="77777777" w:rsidR="007B49AE" w:rsidRPr="00565830" w:rsidRDefault="007B49AE" w:rsidP="00CC56D2">
            <w:pPr>
              <w:spacing w:after="0" w:line="240" w:lineRule="auto"/>
              <w:rPr>
                <w:rFonts w:ascii="Arial" w:hAnsi="Arial" w:cs="Arial"/>
                <w:color w:val="000000"/>
                <w:sz w:val="14"/>
                <w:szCs w:val="14"/>
                <w:lang w:eastAsia="es-MX"/>
              </w:rPr>
            </w:pPr>
          </w:p>
          <w:p w14:paraId="7D5BFC7E"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El Programa presupuestario U009 podría fortalecerse con acciones de salud para consultas médicas, autocuidado y asesorías nutricionales,</w:t>
            </w:r>
          </w:p>
        </w:tc>
      </w:tr>
      <w:tr w:rsidR="007B49AE" w:rsidRPr="00565830" w14:paraId="7E63474B" w14:textId="77777777" w:rsidTr="00CC56D2">
        <w:trPr>
          <w:trHeight w:val="580"/>
        </w:trPr>
        <w:tc>
          <w:tcPr>
            <w:tcW w:w="1063" w:type="dxa"/>
            <w:shd w:val="clear" w:color="auto" w:fill="auto"/>
            <w:vAlign w:val="center"/>
          </w:tcPr>
          <w:p w14:paraId="0A0D719B"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Seguro Médico Siglo XXI</w:t>
            </w:r>
          </w:p>
        </w:tc>
        <w:tc>
          <w:tcPr>
            <w:tcW w:w="932" w:type="dxa"/>
            <w:shd w:val="clear" w:color="auto" w:fill="auto"/>
            <w:vAlign w:val="center"/>
          </w:tcPr>
          <w:p w14:paraId="40CC0D97"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S201</w:t>
            </w:r>
          </w:p>
        </w:tc>
        <w:tc>
          <w:tcPr>
            <w:tcW w:w="1204" w:type="dxa"/>
            <w:shd w:val="clear" w:color="auto" w:fill="auto"/>
            <w:vAlign w:val="center"/>
          </w:tcPr>
          <w:p w14:paraId="6F32423A"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Secretaría de Salud</w:t>
            </w:r>
          </w:p>
        </w:tc>
        <w:tc>
          <w:tcPr>
            <w:tcW w:w="1510" w:type="dxa"/>
            <w:shd w:val="clear" w:color="auto" w:fill="auto"/>
            <w:vAlign w:val="center"/>
          </w:tcPr>
          <w:p w14:paraId="7623AC3E"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 xml:space="preserve">Proporciona financiamiento de forma anual y con base en sus Reglas de Operación, mediante un esquema público de aseguramiento médico universal, para la atención de las niñas y niños menores de cinco años de edad incorporados al Sistema de Protección Social en Salud, que no sean derechohabientes de alguna institución de seguridad social o no cuenten con algún otro mecanismo de </w:t>
            </w:r>
            <w:r w:rsidRPr="00565830">
              <w:rPr>
                <w:rFonts w:ascii="Arial" w:hAnsi="Arial" w:cs="Arial"/>
                <w:color w:val="000000"/>
                <w:sz w:val="14"/>
                <w:szCs w:val="14"/>
                <w:lang w:eastAsia="es-MX"/>
              </w:rPr>
              <w:lastRenderedPageBreak/>
              <w:t>previsión social en salud, a través del otorgamiento de intervenciones de salud complementarias a las establecidas en el Catálogo Universal de Servicios de Salud (CAUSES) y a los servicios médicos de alta especialidad para enfermedades de alto costo cubiertas por el Fondo de Protección contra Gastos Catastróficos (FPGC). A efecto de contribuir a la disminución del empobrecimiento de las familias por motivos de salud y que de manera voluntaria decidan afiliar al Programa al menor de 5 años.</w:t>
            </w:r>
          </w:p>
        </w:tc>
        <w:tc>
          <w:tcPr>
            <w:tcW w:w="1413" w:type="dxa"/>
            <w:shd w:val="clear" w:color="auto" w:fill="auto"/>
            <w:vAlign w:val="center"/>
          </w:tcPr>
          <w:p w14:paraId="5193CC6B"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lastRenderedPageBreak/>
              <w:t xml:space="preserve">Corresponde a 80% de la población potencial (niños menores de 5 </w:t>
            </w:r>
            <w:proofErr w:type="gramStart"/>
            <w:r w:rsidRPr="00565830">
              <w:rPr>
                <w:rFonts w:ascii="Arial" w:hAnsi="Arial" w:cs="Arial"/>
                <w:color w:val="000000"/>
                <w:sz w:val="14"/>
                <w:szCs w:val="14"/>
                <w:lang w:eastAsia="es-MX"/>
              </w:rPr>
              <w:t>años de edad</w:t>
            </w:r>
            <w:proofErr w:type="gramEnd"/>
            <w:r w:rsidRPr="00565830">
              <w:rPr>
                <w:rFonts w:ascii="Arial" w:hAnsi="Arial" w:cs="Arial"/>
                <w:color w:val="000000"/>
                <w:sz w:val="14"/>
                <w:szCs w:val="14"/>
                <w:lang w:eastAsia="es-MX"/>
              </w:rPr>
              <w:t xml:space="preserve">, proyectados por CONAPO para el año de vigencia de las reglas de operación y con base al Censo General de Población y Vivienda del INEGI 2010 y que no tienen seguridad social o que no cuenta con algún otro mecanismo de previsión social en salud), considerando que </w:t>
            </w:r>
            <w:r w:rsidRPr="00565830">
              <w:rPr>
                <w:rFonts w:ascii="Arial" w:hAnsi="Arial" w:cs="Arial"/>
                <w:color w:val="000000"/>
                <w:sz w:val="14"/>
                <w:szCs w:val="14"/>
                <w:lang w:eastAsia="es-MX"/>
              </w:rPr>
              <w:lastRenderedPageBreak/>
              <w:t>se trata de un aseguramiento voluntario.</w:t>
            </w:r>
          </w:p>
        </w:tc>
        <w:tc>
          <w:tcPr>
            <w:tcW w:w="1355" w:type="dxa"/>
            <w:shd w:val="clear" w:color="auto" w:fill="auto"/>
            <w:vAlign w:val="center"/>
          </w:tcPr>
          <w:p w14:paraId="2E16157D"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lastRenderedPageBreak/>
              <w:t>Otorgamiento de intervenciones de salud complementarias a las establecidas en el Catálogo Universal de Servicios de Salud (CAUSES) y a los servicios médicos de alta especialidad para enfermedades de alto costo cubiertas por el Fondo de Protección contra Gastos Catastróficos (FPGC).</w:t>
            </w:r>
          </w:p>
        </w:tc>
        <w:tc>
          <w:tcPr>
            <w:tcW w:w="1021" w:type="dxa"/>
            <w:shd w:val="clear" w:color="auto" w:fill="auto"/>
            <w:vAlign w:val="center"/>
          </w:tcPr>
          <w:p w14:paraId="2043367A"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 xml:space="preserve">32 </w:t>
            </w:r>
            <w:proofErr w:type="gramStart"/>
            <w:r w:rsidRPr="00565830">
              <w:rPr>
                <w:rFonts w:ascii="Arial" w:hAnsi="Arial" w:cs="Arial"/>
                <w:color w:val="000000"/>
                <w:sz w:val="14"/>
                <w:szCs w:val="14"/>
                <w:lang w:eastAsia="es-MX"/>
              </w:rPr>
              <w:t>Entidades</w:t>
            </w:r>
            <w:proofErr w:type="gramEnd"/>
            <w:r w:rsidRPr="00565830">
              <w:rPr>
                <w:rFonts w:ascii="Arial" w:hAnsi="Arial" w:cs="Arial"/>
                <w:color w:val="000000"/>
                <w:sz w:val="14"/>
                <w:szCs w:val="14"/>
                <w:lang w:eastAsia="es-MX"/>
              </w:rPr>
              <w:t xml:space="preserve"> Federativas</w:t>
            </w:r>
          </w:p>
        </w:tc>
        <w:tc>
          <w:tcPr>
            <w:tcW w:w="1056" w:type="dxa"/>
            <w:shd w:val="clear" w:color="auto" w:fill="auto"/>
            <w:noWrap/>
            <w:vAlign w:val="center"/>
          </w:tcPr>
          <w:p w14:paraId="4D8DA689"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Secretaría de Salud</w:t>
            </w:r>
          </w:p>
        </w:tc>
        <w:tc>
          <w:tcPr>
            <w:tcW w:w="932" w:type="dxa"/>
            <w:shd w:val="clear" w:color="auto" w:fill="auto"/>
            <w:noWrap/>
            <w:vAlign w:val="center"/>
          </w:tcPr>
          <w:p w14:paraId="4E3AA2CC" w14:textId="77777777" w:rsidR="007B49AE" w:rsidRPr="00565830" w:rsidRDefault="007B49AE" w:rsidP="00CC56D2">
            <w:pPr>
              <w:spacing w:after="0" w:line="240" w:lineRule="auto"/>
              <w:jc w:val="center"/>
              <w:rPr>
                <w:rFonts w:ascii="Arial" w:hAnsi="Arial" w:cs="Arial"/>
                <w:i/>
                <w:color w:val="000000"/>
                <w:sz w:val="14"/>
                <w:szCs w:val="14"/>
                <w:lang w:eastAsia="es-MX"/>
              </w:rPr>
            </w:pPr>
            <w:r w:rsidRPr="00565830">
              <w:rPr>
                <w:rFonts w:ascii="Arial" w:hAnsi="Arial" w:cs="Arial"/>
                <w:i/>
                <w:color w:val="000000"/>
                <w:sz w:val="14"/>
                <w:szCs w:val="14"/>
                <w:lang w:eastAsia="es-MX"/>
              </w:rPr>
              <w:t>NO</w:t>
            </w:r>
          </w:p>
        </w:tc>
        <w:tc>
          <w:tcPr>
            <w:tcW w:w="1172" w:type="dxa"/>
            <w:shd w:val="clear" w:color="auto" w:fill="auto"/>
            <w:noWrap/>
            <w:vAlign w:val="center"/>
          </w:tcPr>
          <w:p w14:paraId="3A843B76" w14:textId="77777777" w:rsidR="007B49AE" w:rsidRPr="00565830" w:rsidRDefault="007B49AE" w:rsidP="00CC56D2">
            <w:pPr>
              <w:spacing w:after="0" w:line="240" w:lineRule="auto"/>
              <w:jc w:val="center"/>
              <w:rPr>
                <w:rFonts w:ascii="Arial" w:hAnsi="Arial" w:cs="Arial"/>
                <w:i/>
                <w:color w:val="000000"/>
                <w:sz w:val="14"/>
                <w:szCs w:val="14"/>
                <w:lang w:eastAsia="es-MX"/>
              </w:rPr>
            </w:pPr>
            <w:r w:rsidRPr="00565830">
              <w:rPr>
                <w:rFonts w:ascii="Arial" w:hAnsi="Arial" w:cs="Arial"/>
                <w:i/>
                <w:color w:val="000000"/>
                <w:sz w:val="14"/>
                <w:szCs w:val="14"/>
                <w:lang w:eastAsia="es-MX"/>
              </w:rPr>
              <w:t>SI</w:t>
            </w:r>
          </w:p>
        </w:tc>
        <w:tc>
          <w:tcPr>
            <w:tcW w:w="1089" w:type="dxa"/>
            <w:shd w:val="clear" w:color="auto" w:fill="auto"/>
            <w:vAlign w:val="center"/>
          </w:tcPr>
          <w:p w14:paraId="7DE9DF0D"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La población objetivo es la misma.</w:t>
            </w:r>
          </w:p>
          <w:p w14:paraId="101EF6FA" w14:textId="77777777" w:rsidR="007B49AE" w:rsidRPr="00565830" w:rsidRDefault="007B49AE" w:rsidP="00CC56D2">
            <w:pPr>
              <w:spacing w:after="0" w:line="240" w:lineRule="auto"/>
              <w:rPr>
                <w:rFonts w:ascii="Arial" w:hAnsi="Arial" w:cs="Arial"/>
                <w:color w:val="000000"/>
                <w:sz w:val="14"/>
                <w:szCs w:val="14"/>
                <w:lang w:eastAsia="es-MX"/>
              </w:rPr>
            </w:pPr>
          </w:p>
          <w:p w14:paraId="0EF5950A"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Ambos programas tienen acciones para el tratamiento de enfermedades</w:t>
            </w:r>
          </w:p>
        </w:tc>
      </w:tr>
      <w:tr w:rsidR="007B49AE" w:rsidRPr="00565830" w14:paraId="0ABD85FC" w14:textId="77777777" w:rsidTr="00CC56D2">
        <w:trPr>
          <w:trHeight w:val="580"/>
        </w:trPr>
        <w:tc>
          <w:tcPr>
            <w:tcW w:w="1063" w:type="dxa"/>
            <w:shd w:val="clear" w:color="auto" w:fill="auto"/>
            <w:vAlign w:val="center"/>
          </w:tcPr>
          <w:p w14:paraId="41B2FDF5"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Seguro Popular</w:t>
            </w:r>
          </w:p>
        </w:tc>
        <w:tc>
          <w:tcPr>
            <w:tcW w:w="932" w:type="dxa"/>
            <w:shd w:val="clear" w:color="auto" w:fill="auto"/>
            <w:vAlign w:val="center"/>
          </w:tcPr>
          <w:p w14:paraId="0AC587A2"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U005</w:t>
            </w:r>
          </w:p>
        </w:tc>
        <w:tc>
          <w:tcPr>
            <w:tcW w:w="1204" w:type="dxa"/>
            <w:shd w:val="clear" w:color="auto" w:fill="auto"/>
            <w:vAlign w:val="center"/>
          </w:tcPr>
          <w:p w14:paraId="56F10D58"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Secretaría de Salud</w:t>
            </w:r>
          </w:p>
        </w:tc>
        <w:tc>
          <w:tcPr>
            <w:tcW w:w="1510" w:type="dxa"/>
            <w:shd w:val="clear" w:color="auto" w:fill="auto"/>
            <w:vAlign w:val="center"/>
          </w:tcPr>
          <w:p w14:paraId="7899CB59"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 xml:space="preserve">Es un esquema de aseguramiento público en salud dirigido a la población que no cuenta con seguridad social, operado por la Comisión Nacional de Protección Social en Salud, a mediante de la afiliación voluntaria al mismo. Contribuye a la disminución del empobrecimiento de las familias mexicanas por motivos de salud, garantizando el acceso efectivo, oportuno, de calidad, sin desembolso al momento de utilización y sin discriminación a los servicios médico-quirúrgicos, farmacéuticos y </w:t>
            </w:r>
            <w:r w:rsidRPr="00565830">
              <w:rPr>
                <w:rFonts w:ascii="Arial" w:hAnsi="Arial" w:cs="Arial"/>
                <w:color w:val="000000"/>
                <w:sz w:val="14"/>
                <w:szCs w:val="14"/>
                <w:lang w:eastAsia="es-MX"/>
              </w:rPr>
              <w:lastRenderedPageBreak/>
              <w:t>hospitalarios, a través de un paquete de intervenciones de salud en unidades médicas de primer y segundo nivel de atención, establecidas en el Catálogo Universal de Servicios de Salud (CAUSES) y el ofrecimiento de servicios médicos de alta especialidad para la atención de enfermedades de alto costo que pueden poner en riesgo la vida y el patrimonio familiar, mediante el Fondo de Protección contra Gastos Catastróficos (FPGC).</w:t>
            </w:r>
          </w:p>
        </w:tc>
        <w:tc>
          <w:tcPr>
            <w:tcW w:w="1413" w:type="dxa"/>
            <w:shd w:val="clear" w:color="auto" w:fill="auto"/>
            <w:vAlign w:val="center"/>
          </w:tcPr>
          <w:p w14:paraId="3F1B0221"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lastRenderedPageBreak/>
              <w:t>Población que no cuenta con seguridad social, se establece como meta a alcanzar en el año que se trate, considerando la disponibilidad de presupuesto autorizado en el PEF y las aportaciones que deben realizar las entidades federativas, dicha meta se suscribe mediante el Anexo II del Acuerdo de Coordinación para el Establecimiento del Sistema de Protección Social en Salud</w:t>
            </w:r>
          </w:p>
        </w:tc>
        <w:tc>
          <w:tcPr>
            <w:tcW w:w="1355" w:type="dxa"/>
            <w:shd w:val="clear" w:color="auto" w:fill="auto"/>
            <w:vAlign w:val="center"/>
          </w:tcPr>
          <w:p w14:paraId="0A2D7BF1"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Paquete de intervenciones de salud en unidades médicas de primer y segundo nivel de atención, establecidas en el Catálogo Universal de Servicios de Salud (CAUSES)</w:t>
            </w:r>
          </w:p>
        </w:tc>
        <w:tc>
          <w:tcPr>
            <w:tcW w:w="1021" w:type="dxa"/>
            <w:shd w:val="clear" w:color="auto" w:fill="auto"/>
            <w:vAlign w:val="center"/>
          </w:tcPr>
          <w:p w14:paraId="0DF878C3"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 xml:space="preserve">32 </w:t>
            </w:r>
            <w:proofErr w:type="gramStart"/>
            <w:r w:rsidRPr="00565830">
              <w:rPr>
                <w:rFonts w:ascii="Arial" w:hAnsi="Arial" w:cs="Arial"/>
                <w:color w:val="000000"/>
                <w:sz w:val="14"/>
                <w:szCs w:val="14"/>
                <w:lang w:eastAsia="es-MX"/>
              </w:rPr>
              <w:t>Entidades</w:t>
            </w:r>
            <w:proofErr w:type="gramEnd"/>
            <w:r w:rsidRPr="00565830">
              <w:rPr>
                <w:rFonts w:ascii="Arial" w:hAnsi="Arial" w:cs="Arial"/>
                <w:color w:val="000000"/>
                <w:sz w:val="14"/>
                <w:szCs w:val="14"/>
                <w:lang w:eastAsia="es-MX"/>
              </w:rPr>
              <w:t xml:space="preserve"> Federativas</w:t>
            </w:r>
          </w:p>
        </w:tc>
        <w:tc>
          <w:tcPr>
            <w:tcW w:w="1056" w:type="dxa"/>
            <w:shd w:val="clear" w:color="auto" w:fill="auto"/>
            <w:noWrap/>
            <w:vAlign w:val="center"/>
          </w:tcPr>
          <w:p w14:paraId="103D8AC3"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Secretaría de Salud</w:t>
            </w:r>
          </w:p>
        </w:tc>
        <w:tc>
          <w:tcPr>
            <w:tcW w:w="932" w:type="dxa"/>
            <w:shd w:val="clear" w:color="auto" w:fill="auto"/>
            <w:noWrap/>
            <w:vAlign w:val="center"/>
          </w:tcPr>
          <w:p w14:paraId="24011DFA" w14:textId="77777777" w:rsidR="007B49AE" w:rsidRPr="00565830" w:rsidRDefault="007B49AE" w:rsidP="00CC56D2">
            <w:pPr>
              <w:spacing w:after="0" w:line="240" w:lineRule="auto"/>
              <w:jc w:val="center"/>
              <w:rPr>
                <w:rFonts w:ascii="Arial" w:hAnsi="Arial" w:cs="Arial"/>
                <w:i/>
                <w:color w:val="000000"/>
                <w:sz w:val="14"/>
                <w:szCs w:val="14"/>
                <w:lang w:eastAsia="es-MX"/>
              </w:rPr>
            </w:pPr>
            <w:r w:rsidRPr="00565830">
              <w:rPr>
                <w:rFonts w:ascii="Arial" w:hAnsi="Arial" w:cs="Arial"/>
                <w:i/>
                <w:color w:val="000000"/>
                <w:sz w:val="14"/>
                <w:szCs w:val="14"/>
                <w:lang w:eastAsia="es-MX"/>
              </w:rPr>
              <w:t>NO</w:t>
            </w:r>
          </w:p>
        </w:tc>
        <w:tc>
          <w:tcPr>
            <w:tcW w:w="1172" w:type="dxa"/>
            <w:shd w:val="clear" w:color="auto" w:fill="auto"/>
            <w:noWrap/>
            <w:vAlign w:val="center"/>
          </w:tcPr>
          <w:p w14:paraId="59E7D011" w14:textId="77777777" w:rsidR="007B49AE" w:rsidRPr="00565830" w:rsidRDefault="007B49AE" w:rsidP="00CC56D2">
            <w:pPr>
              <w:spacing w:after="0" w:line="240" w:lineRule="auto"/>
              <w:jc w:val="center"/>
              <w:rPr>
                <w:rFonts w:ascii="Arial" w:hAnsi="Arial" w:cs="Arial"/>
                <w:i/>
                <w:color w:val="000000"/>
                <w:sz w:val="14"/>
                <w:szCs w:val="14"/>
                <w:lang w:eastAsia="es-MX"/>
              </w:rPr>
            </w:pPr>
            <w:r w:rsidRPr="00565830">
              <w:rPr>
                <w:rFonts w:ascii="Arial" w:hAnsi="Arial" w:cs="Arial"/>
                <w:i/>
                <w:color w:val="000000"/>
                <w:sz w:val="14"/>
                <w:szCs w:val="14"/>
                <w:lang w:eastAsia="es-MX"/>
              </w:rPr>
              <w:t>SI</w:t>
            </w:r>
          </w:p>
        </w:tc>
        <w:tc>
          <w:tcPr>
            <w:tcW w:w="1089" w:type="dxa"/>
            <w:shd w:val="clear" w:color="auto" w:fill="auto"/>
            <w:vAlign w:val="center"/>
          </w:tcPr>
          <w:p w14:paraId="2D260A9F"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La población objetivo es la misma.</w:t>
            </w:r>
          </w:p>
          <w:p w14:paraId="27724590" w14:textId="77777777" w:rsidR="007B49AE" w:rsidRPr="00565830" w:rsidRDefault="007B49AE" w:rsidP="00CC56D2">
            <w:pPr>
              <w:spacing w:after="0" w:line="240" w:lineRule="auto"/>
              <w:rPr>
                <w:rFonts w:ascii="Arial" w:hAnsi="Arial" w:cs="Arial"/>
                <w:color w:val="000000"/>
                <w:sz w:val="14"/>
                <w:szCs w:val="14"/>
                <w:lang w:eastAsia="es-MX"/>
              </w:rPr>
            </w:pPr>
          </w:p>
          <w:p w14:paraId="65E369F2"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Ambos programas transfieren recursos a los Servicios Estatales de Salud.</w:t>
            </w:r>
          </w:p>
          <w:p w14:paraId="60645170" w14:textId="77777777" w:rsidR="007B49AE" w:rsidRPr="00565830" w:rsidRDefault="007B49AE" w:rsidP="00CC56D2">
            <w:pPr>
              <w:spacing w:after="0" w:line="240" w:lineRule="auto"/>
              <w:rPr>
                <w:rFonts w:ascii="Arial" w:hAnsi="Arial" w:cs="Arial"/>
                <w:color w:val="000000"/>
                <w:sz w:val="14"/>
                <w:szCs w:val="14"/>
                <w:lang w:eastAsia="es-MX"/>
              </w:rPr>
            </w:pPr>
          </w:p>
          <w:p w14:paraId="03951E71"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Se otorga el mismo paquete de intervenciones.</w:t>
            </w:r>
          </w:p>
        </w:tc>
      </w:tr>
      <w:tr w:rsidR="007B49AE" w:rsidRPr="00565830" w14:paraId="276E1EE4" w14:textId="77777777" w:rsidTr="00CC56D2">
        <w:trPr>
          <w:trHeight w:val="580"/>
        </w:trPr>
        <w:tc>
          <w:tcPr>
            <w:tcW w:w="1063" w:type="dxa"/>
            <w:shd w:val="clear" w:color="auto" w:fill="auto"/>
            <w:vAlign w:val="center"/>
          </w:tcPr>
          <w:p w14:paraId="23C9B91D"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Prevención y Control de Sobrepeso, Obesidad y Diabetes</w:t>
            </w:r>
          </w:p>
        </w:tc>
        <w:tc>
          <w:tcPr>
            <w:tcW w:w="932" w:type="dxa"/>
            <w:shd w:val="clear" w:color="auto" w:fill="auto"/>
            <w:vAlign w:val="center"/>
          </w:tcPr>
          <w:p w14:paraId="0CCF5997"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U008</w:t>
            </w:r>
          </w:p>
        </w:tc>
        <w:tc>
          <w:tcPr>
            <w:tcW w:w="1204" w:type="dxa"/>
            <w:shd w:val="clear" w:color="auto" w:fill="auto"/>
            <w:vAlign w:val="center"/>
          </w:tcPr>
          <w:p w14:paraId="09ACB759"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Secretaría de Salud</w:t>
            </w:r>
          </w:p>
        </w:tc>
        <w:tc>
          <w:tcPr>
            <w:tcW w:w="1510" w:type="dxa"/>
            <w:shd w:val="clear" w:color="auto" w:fill="auto"/>
            <w:vAlign w:val="center"/>
          </w:tcPr>
          <w:p w14:paraId="42027B5E"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 xml:space="preserve">El objetivo del Programa es contribuir a consolidar las acciones de protección, promoción de la salud y prevención de enfermedades mediante acciones encaminadas a la detección, diagnóstico, tratamiento y control del sobrepeso, obesidad y las enfermedades no transmisibles, en la población de 20 años y más, responsabilidad de los 32 Servicios Estatales de Salud, excluyendo a la población que atiende el IMSS-Próspera, en apego a la Estrategia Nacional para la Prevención y el Control del </w:t>
            </w:r>
            <w:r w:rsidRPr="00565830">
              <w:rPr>
                <w:rFonts w:ascii="Arial" w:hAnsi="Arial" w:cs="Arial"/>
                <w:color w:val="000000"/>
                <w:sz w:val="14"/>
                <w:szCs w:val="14"/>
                <w:lang w:eastAsia="es-MX"/>
              </w:rPr>
              <w:lastRenderedPageBreak/>
              <w:t>Sobrepeso, Obesidad y Diabetes.</w:t>
            </w:r>
          </w:p>
        </w:tc>
        <w:tc>
          <w:tcPr>
            <w:tcW w:w="1413" w:type="dxa"/>
            <w:shd w:val="clear" w:color="auto" w:fill="auto"/>
            <w:vAlign w:val="center"/>
          </w:tcPr>
          <w:p w14:paraId="74439B2A"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lastRenderedPageBreak/>
              <w:t>Toda la población sin derechohabiencia de 20 años y más, responsabilidad de los 32 Servicios Estatales de Salud, sin incluir a la población IMSS-Próspera.</w:t>
            </w:r>
          </w:p>
        </w:tc>
        <w:tc>
          <w:tcPr>
            <w:tcW w:w="1355" w:type="dxa"/>
            <w:shd w:val="clear" w:color="auto" w:fill="auto"/>
            <w:vAlign w:val="center"/>
          </w:tcPr>
          <w:p w14:paraId="60A4882D"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Acciones de protección, promoción de la salud y prevención de enfermedades mediante acciones encaminadas a la detección, diagnóstico, tratamiento y control del sobrepeso, obesidad</w:t>
            </w:r>
          </w:p>
        </w:tc>
        <w:tc>
          <w:tcPr>
            <w:tcW w:w="1021" w:type="dxa"/>
            <w:shd w:val="clear" w:color="auto" w:fill="auto"/>
            <w:vAlign w:val="center"/>
          </w:tcPr>
          <w:p w14:paraId="2309122C"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 xml:space="preserve">32 </w:t>
            </w:r>
            <w:proofErr w:type="gramStart"/>
            <w:r w:rsidRPr="00565830">
              <w:rPr>
                <w:rFonts w:ascii="Arial" w:hAnsi="Arial" w:cs="Arial"/>
                <w:color w:val="000000"/>
                <w:sz w:val="14"/>
                <w:szCs w:val="14"/>
                <w:lang w:eastAsia="es-MX"/>
              </w:rPr>
              <w:t>Entidades</w:t>
            </w:r>
            <w:proofErr w:type="gramEnd"/>
            <w:r w:rsidRPr="00565830">
              <w:rPr>
                <w:rFonts w:ascii="Arial" w:hAnsi="Arial" w:cs="Arial"/>
                <w:color w:val="000000"/>
                <w:sz w:val="14"/>
                <w:szCs w:val="14"/>
                <w:lang w:eastAsia="es-MX"/>
              </w:rPr>
              <w:t xml:space="preserve"> Federativas</w:t>
            </w:r>
          </w:p>
        </w:tc>
        <w:tc>
          <w:tcPr>
            <w:tcW w:w="1056" w:type="dxa"/>
            <w:shd w:val="clear" w:color="auto" w:fill="auto"/>
            <w:noWrap/>
            <w:vAlign w:val="center"/>
          </w:tcPr>
          <w:p w14:paraId="2E0AE413" w14:textId="77777777" w:rsidR="007B49AE" w:rsidRPr="00565830" w:rsidRDefault="007B49AE" w:rsidP="00CC56D2">
            <w:pPr>
              <w:spacing w:after="0" w:line="240" w:lineRule="auto"/>
              <w:jc w:val="center"/>
              <w:rPr>
                <w:rFonts w:ascii="Arial" w:hAnsi="Arial" w:cs="Arial"/>
                <w:color w:val="000000"/>
                <w:sz w:val="14"/>
                <w:szCs w:val="14"/>
                <w:lang w:eastAsia="es-MX"/>
              </w:rPr>
            </w:pPr>
            <w:r w:rsidRPr="00565830">
              <w:rPr>
                <w:rFonts w:ascii="Arial" w:hAnsi="Arial" w:cs="Arial"/>
                <w:color w:val="000000"/>
                <w:sz w:val="14"/>
                <w:szCs w:val="14"/>
                <w:lang w:eastAsia="es-MX"/>
              </w:rPr>
              <w:t>Secretaría de Salud</w:t>
            </w:r>
          </w:p>
        </w:tc>
        <w:tc>
          <w:tcPr>
            <w:tcW w:w="932" w:type="dxa"/>
            <w:shd w:val="clear" w:color="auto" w:fill="auto"/>
            <w:noWrap/>
            <w:vAlign w:val="center"/>
          </w:tcPr>
          <w:p w14:paraId="72DC6851" w14:textId="77777777" w:rsidR="007B49AE" w:rsidRPr="00565830" w:rsidRDefault="007B49AE" w:rsidP="00CC56D2">
            <w:pPr>
              <w:spacing w:after="0" w:line="240" w:lineRule="auto"/>
              <w:jc w:val="center"/>
              <w:rPr>
                <w:rFonts w:ascii="Arial" w:hAnsi="Arial" w:cs="Arial"/>
                <w:i/>
                <w:color w:val="000000"/>
                <w:sz w:val="14"/>
                <w:szCs w:val="14"/>
                <w:lang w:eastAsia="es-MX"/>
              </w:rPr>
            </w:pPr>
            <w:r w:rsidRPr="00565830">
              <w:rPr>
                <w:rFonts w:ascii="Arial" w:hAnsi="Arial" w:cs="Arial"/>
                <w:i/>
                <w:color w:val="000000"/>
                <w:sz w:val="14"/>
                <w:szCs w:val="14"/>
                <w:lang w:eastAsia="es-MX"/>
              </w:rPr>
              <w:t>NO</w:t>
            </w:r>
          </w:p>
        </w:tc>
        <w:tc>
          <w:tcPr>
            <w:tcW w:w="1172" w:type="dxa"/>
            <w:shd w:val="clear" w:color="auto" w:fill="auto"/>
            <w:noWrap/>
            <w:vAlign w:val="center"/>
          </w:tcPr>
          <w:p w14:paraId="0C9AED34" w14:textId="77777777" w:rsidR="007B49AE" w:rsidRPr="00565830" w:rsidRDefault="007B49AE" w:rsidP="00CC56D2">
            <w:pPr>
              <w:spacing w:after="0" w:line="240" w:lineRule="auto"/>
              <w:jc w:val="center"/>
              <w:rPr>
                <w:rFonts w:ascii="Arial" w:hAnsi="Arial" w:cs="Arial"/>
                <w:i/>
                <w:color w:val="000000"/>
                <w:sz w:val="14"/>
                <w:szCs w:val="14"/>
                <w:lang w:eastAsia="es-MX"/>
              </w:rPr>
            </w:pPr>
            <w:r w:rsidRPr="00565830">
              <w:rPr>
                <w:rFonts w:ascii="Arial" w:hAnsi="Arial" w:cs="Arial"/>
                <w:i/>
                <w:color w:val="000000"/>
                <w:sz w:val="14"/>
                <w:szCs w:val="14"/>
                <w:lang w:eastAsia="es-MX"/>
              </w:rPr>
              <w:t>SI</w:t>
            </w:r>
          </w:p>
        </w:tc>
        <w:tc>
          <w:tcPr>
            <w:tcW w:w="1089" w:type="dxa"/>
            <w:shd w:val="clear" w:color="auto" w:fill="auto"/>
            <w:vAlign w:val="center"/>
          </w:tcPr>
          <w:p w14:paraId="2E8AAE72"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Ambos programas están dentro de la misma Dependencia.</w:t>
            </w:r>
          </w:p>
          <w:p w14:paraId="19531AFE" w14:textId="77777777" w:rsidR="007B49AE" w:rsidRPr="00565830" w:rsidRDefault="007B49AE" w:rsidP="00CC56D2">
            <w:pPr>
              <w:spacing w:after="0" w:line="240" w:lineRule="auto"/>
              <w:rPr>
                <w:rFonts w:ascii="Arial" w:hAnsi="Arial" w:cs="Arial"/>
                <w:color w:val="000000"/>
                <w:sz w:val="14"/>
                <w:szCs w:val="14"/>
                <w:lang w:eastAsia="es-MX"/>
              </w:rPr>
            </w:pPr>
          </w:p>
          <w:p w14:paraId="243F3201" w14:textId="77777777" w:rsidR="007B49AE" w:rsidRPr="00565830" w:rsidRDefault="007B49AE" w:rsidP="00CC56D2">
            <w:pPr>
              <w:spacing w:after="0" w:line="240" w:lineRule="auto"/>
              <w:rPr>
                <w:rFonts w:ascii="Arial" w:hAnsi="Arial" w:cs="Arial"/>
                <w:color w:val="000000"/>
                <w:sz w:val="14"/>
                <w:szCs w:val="14"/>
                <w:lang w:eastAsia="es-MX"/>
              </w:rPr>
            </w:pPr>
            <w:r w:rsidRPr="00565830">
              <w:rPr>
                <w:rFonts w:ascii="Arial" w:hAnsi="Arial" w:cs="Arial"/>
                <w:color w:val="000000"/>
                <w:sz w:val="14"/>
                <w:szCs w:val="14"/>
                <w:lang w:eastAsia="es-MX"/>
              </w:rPr>
              <w:t>Ambos programas parten de objetivos comunes.</w:t>
            </w:r>
          </w:p>
        </w:tc>
      </w:tr>
    </w:tbl>
    <w:p w14:paraId="46A3D217" w14:textId="77777777" w:rsidR="007B49AE" w:rsidRPr="00565830" w:rsidRDefault="007B49AE" w:rsidP="007B49AE">
      <w:pPr>
        <w:overflowPunct w:val="0"/>
        <w:autoSpaceDE w:val="0"/>
        <w:autoSpaceDN w:val="0"/>
        <w:adjustRightInd w:val="0"/>
        <w:spacing w:line="360" w:lineRule="auto"/>
        <w:contextualSpacing/>
        <w:jc w:val="both"/>
        <w:textAlignment w:val="baseline"/>
        <w:rPr>
          <w:rFonts w:ascii="Arial" w:hAnsi="Arial" w:cs="Arial"/>
          <w:b/>
          <w:sz w:val="24"/>
          <w:szCs w:val="24"/>
          <w:lang w:eastAsia="es-MX"/>
        </w:rPr>
        <w:sectPr w:rsidR="007B49AE" w:rsidRPr="00565830" w:rsidSect="008F5B03">
          <w:pgSz w:w="15840" w:h="12240" w:orient="landscape"/>
          <w:pgMar w:top="1701" w:right="1418" w:bottom="1701" w:left="1418" w:header="709" w:footer="709" w:gutter="0"/>
          <w:cols w:space="708"/>
          <w:docGrid w:linePitch="360"/>
        </w:sectPr>
      </w:pPr>
    </w:p>
    <w:p w14:paraId="0226AFDD" w14:textId="77777777" w:rsidR="0052612C" w:rsidRDefault="0052612C"/>
    <w:sectPr w:rsidR="0052612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9AE"/>
    <w:rsid w:val="0052612C"/>
    <w:rsid w:val="007B49AE"/>
    <w:rsid w:val="0093253C"/>
    <w:rsid w:val="00FA2AD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4743E"/>
  <w15:chartTrackingRefBased/>
  <w15:docId w15:val="{15694485-D393-4220-90F6-C17994129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9AE"/>
    <w:pPr>
      <w:spacing w:after="200" w:line="276" w:lineRule="auto"/>
    </w:pPr>
  </w:style>
  <w:style w:type="paragraph" w:styleId="Ttulo1">
    <w:name w:val="heading 1"/>
    <w:basedOn w:val="Normal"/>
    <w:next w:val="Normal"/>
    <w:link w:val="Ttulo1Car"/>
    <w:uiPriority w:val="9"/>
    <w:qFormat/>
    <w:rsid w:val="007B49AE"/>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B49AE"/>
    <w:rPr>
      <w:rFonts w:asciiTheme="majorHAnsi" w:eastAsiaTheme="majorEastAsia" w:hAnsiTheme="majorHAnsi" w:cstheme="majorBidi"/>
      <w:b/>
      <w:bCs/>
      <w:color w:val="2F5496"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1894</Words>
  <Characters>10423</Characters>
  <Application>Microsoft Office Word</Application>
  <DocSecurity>0</DocSecurity>
  <Lines>86</Lines>
  <Paragraphs>24</Paragraphs>
  <ScaleCrop>false</ScaleCrop>
  <Company/>
  <LinksUpToDate>false</LinksUpToDate>
  <CharactersWithSpaces>12293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Vázquez Coronado</dc:creator>
  <cp:keywords/>
  <dc:description/>
  <cp:lastModifiedBy>Marcela Vázquez Coronado</cp:lastModifiedBy>
  <cp:revision>2</cp:revision>
  <dcterms:created xsi:type="dcterms:W3CDTF">2021-02-11T01:42:00Z</dcterms:created>
  <dcterms:modified xsi:type="dcterms:W3CDTF">2021-02-11T01:42:00Z</dcterms:modified>
</cp:coreProperties>
</file>