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29C5EC" w14:textId="77777777" w:rsidR="00F35C13" w:rsidRPr="00565830" w:rsidRDefault="00F35C13" w:rsidP="00F35C13">
      <w:pPr>
        <w:pStyle w:val="Ttulo1"/>
        <w:jc w:val="both"/>
        <w:rPr>
          <w:rFonts w:ascii="Arial" w:hAnsi="Arial" w:cs="Arial"/>
          <w:color w:val="auto"/>
          <w:sz w:val="24"/>
          <w:szCs w:val="24"/>
        </w:rPr>
      </w:pPr>
      <w:bookmarkStart w:id="0" w:name="_Toc58251724"/>
      <w:r w:rsidRPr="00565830">
        <w:rPr>
          <w:rFonts w:ascii="Arial" w:hAnsi="Arial" w:cs="Arial"/>
          <w:color w:val="auto"/>
          <w:sz w:val="24"/>
          <w:szCs w:val="24"/>
        </w:rPr>
        <w:t>Anexo 3 “Matriz de Indicadores para Resultados”</w:t>
      </w:r>
      <w:bookmarkEnd w:id="0"/>
    </w:p>
    <w:p w14:paraId="7C9AAE6C" w14:textId="77777777" w:rsidR="00F35C13" w:rsidRPr="00565830" w:rsidRDefault="00F35C13" w:rsidP="00F35C13">
      <w:pPr>
        <w:overflowPunct w:val="0"/>
        <w:autoSpaceDE w:val="0"/>
        <w:autoSpaceDN w:val="0"/>
        <w:adjustRightInd w:val="0"/>
        <w:spacing w:line="360" w:lineRule="auto"/>
        <w:contextualSpacing/>
        <w:jc w:val="both"/>
        <w:textAlignment w:val="baseline"/>
        <w:rPr>
          <w:rFonts w:ascii="Arial" w:hAnsi="Arial" w:cs="Arial"/>
          <w:b/>
          <w:sz w:val="24"/>
          <w:szCs w:val="24"/>
          <w:lang w:eastAsia="es-MX"/>
        </w:rPr>
      </w:pPr>
    </w:p>
    <w:tbl>
      <w:tblPr>
        <w:tblStyle w:val="Tablaconcuadrcula"/>
        <w:tblW w:w="13398" w:type="dxa"/>
        <w:tblLayout w:type="fixed"/>
        <w:tblLook w:val="04A0" w:firstRow="1" w:lastRow="0" w:firstColumn="1" w:lastColumn="0" w:noHBand="0" w:noVBand="1"/>
      </w:tblPr>
      <w:tblGrid>
        <w:gridCol w:w="1063"/>
        <w:gridCol w:w="179"/>
        <w:gridCol w:w="293"/>
        <w:gridCol w:w="131"/>
        <w:gridCol w:w="708"/>
        <w:gridCol w:w="233"/>
        <w:gridCol w:w="306"/>
        <w:gridCol w:w="313"/>
        <w:gridCol w:w="74"/>
        <w:gridCol w:w="242"/>
        <w:gridCol w:w="250"/>
        <w:gridCol w:w="425"/>
        <w:gridCol w:w="100"/>
        <w:gridCol w:w="599"/>
        <w:gridCol w:w="295"/>
        <w:gridCol w:w="141"/>
        <w:gridCol w:w="269"/>
        <w:gridCol w:w="582"/>
        <w:gridCol w:w="493"/>
        <w:gridCol w:w="500"/>
        <w:gridCol w:w="31"/>
        <w:gridCol w:w="811"/>
        <w:gridCol w:w="8"/>
        <w:gridCol w:w="709"/>
        <w:gridCol w:w="231"/>
        <w:gridCol w:w="194"/>
        <w:gridCol w:w="680"/>
        <w:gridCol w:w="260"/>
        <w:gridCol w:w="53"/>
        <w:gridCol w:w="283"/>
        <w:gridCol w:w="798"/>
        <w:gridCol w:w="53"/>
        <w:gridCol w:w="532"/>
        <w:gridCol w:w="464"/>
        <w:gridCol w:w="1095"/>
      </w:tblGrid>
      <w:tr w:rsidR="00F35C13" w:rsidRPr="00565830" w14:paraId="201F3387" w14:textId="77777777" w:rsidTr="00CC56D2">
        <w:trPr>
          <w:trHeight w:val="328"/>
        </w:trPr>
        <w:tc>
          <w:tcPr>
            <w:tcW w:w="13398" w:type="dxa"/>
            <w:gridSpan w:val="35"/>
            <w:shd w:val="clear" w:color="auto" w:fill="A6A6A6" w:themeFill="background1" w:themeFillShade="A6"/>
            <w:noWrap/>
            <w:vAlign w:val="center"/>
            <w:hideMark/>
          </w:tcPr>
          <w:p w14:paraId="55224E35" w14:textId="77777777" w:rsidR="00F35C13" w:rsidRPr="00565830" w:rsidRDefault="00F35C13" w:rsidP="00CC56D2">
            <w:pPr>
              <w:jc w:val="center"/>
              <w:rPr>
                <w:rFonts w:ascii="Arial" w:hAnsi="Arial" w:cs="Arial"/>
                <w:b/>
                <w:bCs/>
                <w:sz w:val="14"/>
                <w:szCs w:val="14"/>
              </w:rPr>
            </w:pPr>
            <w:r w:rsidRPr="00565830">
              <w:rPr>
                <w:rFonts w:ascii="Arial" w:hAnsi="Arial" w:cs="Arial"/>
                <w:b/>
                <w:bCs/>
                <w:sz w:val="14"/>
                <w:szCs w:val="14"/>
                <w:shd w:val="clear" w:color="auto" w:fill="A6A6A6" w:themeFill="background1" w:themeFillShade="A6"/>
              </w:rPr>
              <w:t>DAT</w:t>
            </w:r>
            <w:r w:rsidRPr="00565830">
              <w:rPr>
                <w:rFonts w:ascii="Arial" w:hAnsi="Arial" w:cs="Arial"/>
                <w:b/>
                <w:bCs/>
                <w:sz w:val="14"/>
                <w:szCs w:val="14"/>
              </w:rPr>
              <w:t>OS DEL PROGRAMA</w:t>
            </w:r>
          </w:p>
        </w:tc>
      </w:tr>
      <w:tr w:rsidR="00F35C13" w:rsidRPr="00565830" w14:paraId="50F787DE" w14:textId="77777777" w:rsidTr="00CC56D2">
        <w:trPr>
          <w:trHeight w:val="843"/>
        </w:trPr>
        <w:tc>
          <w:tcPr>
            <w:tcW w:w="1666" w:type="dxa"/>
            <w:gridSpan w:val="4"/>
            <w:vAlign w:val="center"/>
            <w:hideMark/>
          </w:tcPr>
          <w:p w14:paraId="68088793" w14:textId="77777777" w:rsidR="00F35C13" w:rsidRPr="00565830" w:rsidRDefault="00F35C13" w:rsidP="00CC56D2">
            <w:pPr>
              <w:jc w:val="center"/>
              <w:rPr>
                <w:rFonts w:ascii="Arial" w:hAnsi="Arial" w:cs="Arial"/>
                <w:b/>
                <w:bCs/>
                <w:sz w:val="14"/>
                <w:szCs w:val="14"/>
              </w:rPr>
            </w:pPr>
            <w:r w:rsidRPr="00565830">
              <w:rPr>
                <w:rFonts w:ascii="Arial" w:hAnsi="Arial" w:cs="Arial"/>
                <w:b/>
                <w:bCs/>
                <w:sz w:val="14"/>
                <w:szCs w:val="14"/>
              </w:rPr>
              <w:t>Programa presupuestario</w:t>
            </w:r>
          </w:p>
        </w:tc>
        <w:tc>
          <w:tcPr>
            <w:tcW w:w="708" w:type="dxa"/>
            <w:vAlign w:val="center"/>
            <w:hideMark/>
          </w:tcPr>
          <w:p w14:paraId="2A4601D3" w14:textId="77777777" w:rsidR="00F35C13" w:rsidRPr="00565830" w:rsidRDefault="00F35C13" w:rsidP="00CC56D2">
            <w:pPr>
              <w:jc w:val="center"/>
              <w:rPr>
                <w:rFonts w:ascii="Arial" w:hAnsi="Arial" w:cs="Arial"/>
                <w:b/>
                <w:bCs/>
                <w:sz w:val="14"/>
                <w:szCs w:val="14"/>
              </w:rPr>
            </w:pPr>
            <w:r w:rsidRPr="00565830">
              <w:rPr>
                <w:rFonts w:ascii="Arial" w:hAnsi="Arial" w:cs="Arial"/>
                <w:b/>
                <w:bCs/>
                <w:sz w:val="14"/>
                <w:szCs w:val="14"/>
              </w:rPr>
              <w:t>U009</w:t>
            </w:r>
          </w:p>
        </w:tc>
        <w:tc>
          <w:tcPr>
            <w:tcW w:w="1843" w:type="dxa"/>
            <w:gridSpan w:val="7"/>
            <w:vAlign w:val="center"/>
            <w:hideMark/>
          </w:tcPr>
          <w:p w14:paraId="5AC0B2F3" w14:textId="77777777" w:rsidR="00F35C13" w:rsidRPr="00565830" w:rsidRDefault="00F35C13" w:rsidP="00CC56D2">
            <w:pPr>
              <w:jc w:val="center"/>
              <w:rPr>
                <w:rFonts w:ascii="Arial" w:hAnsi="Arial" w:cs="Arial"/>
                <w:b/>
                <w:bCs/>
                <w:sz w:val="14"/>
                <w:szCs w:val="14"/>
              </w:rPr>
            </w:pPr>
            <w:r w:rsidRPr="00565830">
              <w:rPr>
                <w:rFonts w:ascii="Arial" w:hAnsi="Arial" w:cs="Arial"/>
                <w:b/>
                <w:bCs/>
                <w:sz w:val="14"/>
                <w:szCs w:val="14"/>
              </w:rPr>
              <w:t>Vigilancia epidemiológica</w:t>
            </w:r>
          </w:p>
        </w:tc>
        <w:tc>
          <w:tcPr>
            <w:tcW w:w="1135" w:type="dxa"/>
            <w:gridSpan w:val="4"/>
            <w:vAlign w:val="center"/>
            <w:hideMark/>
          </w:tcPr>
          <w:p w14:paraId="2D9DF011" w14:textId="77777777" w:rsidR="00F35C13" w:rsidRPr="00565830" w:rsidRDefault="00F35C13" w:rsidP="00CC56D2">
            <w:pPr>
              <w:jc w:val="center"/>
              <w:rPr>
                <w:rFonts w:ascii="Arial" w:hAnsi="Arial" w:cs="Arial"/>
                <w:b/>
                <w:bCs/>
                <w:sz w:val="14"/>
                <w:szCs w:val="14"/>
              </w:rPr>
            </w:pPr>
            <w:r w:rsidRPr="00565830">
              <w:rPr>
                <w:rFonts w:ascii="Arial" w:hAnsi="Arial" w:cs="Arial"/>
                <w:b/>
                <w:bCs/>
                <w:sz w:val="14"/>
                <w:szCs w:val="14"/>
              </w:rPr>
              <w:t>Ramo</w:t>
            </w:r>
          </w:p>
        </w:tc>
        <w:tc>
          <w:tcPr>
            <w:tcW w:w="851" w:type="dxa"/>
            <w:gridSpan w:val="2"/>
            <w:vAlign w:val="center"/>
            <w:hideMark/>
          </w:tcPr>
          <w:p w14:paraId="1F0F8336" w14:textId="77777777" w:rsidR="00F35C13" w:rsidRPr="00565830" w:rsidRDefault="00F35C13" w:rsidP="00CC56D2">
            <w:pPr>
              <w:jc w:val="center"/>
              <w:rPr>
                <w:rFonts w:ascii="Arial" w:hAnsi="Arial" w:cs="Arial"/>
                <w:sz w:val="14"/>
                <w:szCs w:val="14"/>
              </w:rPr>
            </w:pPr>
            <w:r w:rsidRPr="00565830">
              <w:rPr>
                <w:rFonts w:ascii="Arial" w:hAnsi="Arial" w:cs="Arial"/>
                <w:sz w:val="14"/>
                <w:szCs w:val="14"/>
              </w:rPr>
              <w:t>12</w:t>
            </w:r>
          </w:p>
        </w:tc>
        <w:tc>
          <w:tcPr>
            <w:tcW w:w="993" w:type="dxa"/>
            <w:gridSpan w:val="2"/>
            <w:vAlign w:val="center"/>
            <w:hideMark/>
          </w:tcPr>
          <w:p w14:paraId="31296996" w14:textId="77777777" w:rsidR="00F35C13" w:rsidRPr="00565830" w:rsidRDefault="00F35C13" w:rsidP="00CC56D2">
            <w:pPr>
              <w:jc w:val="center"/>
              <w:rPr>
                <w:rFonts w:ascii="Arial" w:hAnsi="Arial" w:cs="Arial"/>
                <w:sz w:val="14"/>
                <w:szCs w:val="14"/>
              </w:rPr>
            </w:pPr>
            <w:r w:rsidRPr="00565830">
              <w:rPr>
                <w:rFonts w:ascii="Arial" w:hAnsi="Arial" w:cs="Arial"/>
                <w:sz w:val="14"/>
                <w:szCs w:val="14"/>
              </w:rPr>
              <w:t>Salud</w:t>
            </w:r>
          </w:p>
        </w:tc>
        <w:tc>
          <w:tcPr>
            <w:tcW w:w="1559" w:type="dxa"/>
            <w:gridSpan w:val="4"/>
            <w:vAlign w:val="center"/>
            <w:hideMark/>
          </w:tcPr>
          <w:p w14:paraId="1CC47776" w14:textId="77777777" w:rsidR="00F35C13" w:rsidRPr="00565830" w:rsidRDefault="00F35C13" w:rsidP="00CC56D2">
            <w:pPr>
              <w:jc w:val="center"/>
              <w:rPr>
                <w:rFonts w:ascii="Arial" w:hAnsi="Arial" w:cs="Arial"/>
                <w:b/>
                <w:bCs/>
                <w:sz w:val="14"/>
                <w:szCs w:val="14"/>
              </w:rPr>
            </w:pPr>
            <w:r w:rsidRPr="00565830">
              <w:rPr>
                <w:rFonts w:ascii="Arial" w:hAnsi="Arial" w:cs="Arial"/>
                <w:b/>
                <w:bCs/>
                <w:sz w:val="14"/>
                <w:szCs w:val="14"/>
              </w:rPr>
              <w:t>Unidad responsable</w:t>
            </w:r>
          </w:p>
        </w:tc>
        <w:tc>
          <w:tcPr>
            <w:tcW w:w="1701" w:type="dxa"/>
            <w:gridSpan w:val="6"/>
            <w:vAlign w:val="center"/>
            <w:hideMark/>
          </w:tcPr>
          <w:p w14:paraId="3827A6C9" w14:textId="77777777" w:rsidR="00F35C13" w:rsidRPr="00565830" w:rsidRDefault="00F35C13" w:rsidP="00CC56D2">
            <w:pPr>
              <w:jc w:val="center"/>
              <w:rPr>
                <w:rFonts w:ascii="Arial" w:hAnsi="Arial" w:cs="Arial"/>
                <w:sz w:val="14"/>
                <w:szCs w:val="14"/>
              </w:rPr>
            </w:pPr>
            <w:r w:rsidRPr="00565830">
              <w:rPr>
                <w:rFonts w:ascii="Arial" w:hAnsi="Arial" w:cs="Arial"/>
                <w:sz w:val="14"/>
                <w:szCs w:val="14"/>
              </w:rPr>
              <w:t>O00-Centro Nacional de Programas Preventivos y Control de Enfermedades</w:t>
            </w:r>
          </w:p>
        </w:tc>
        <w:tc>
          <w:tcPr>
            <w:tcW w:w="1383" w:type="dxa"/>
            <w:gridSpan w:val="3"/>
            <w:vAlign w:val="center"/>
            <w:hideMark/>
          </w:tcPr>
          <w:p w14:paraId="64363A58" w14:textId="77777777" w:rsidR="00F35C13" w:rsidRPr="00565830" w:rsidRDefault="00F35C13" w:rsidP="00CC56D2">
            <w:pPr>
              <w:jc w:val="center"/>
              <w:rPr>
                <w:rFonts w:ascii="Arial" w:hAnsi="Arial" w:cs="Arial"/>
                <w:b/>
                <w:bCs/>
                <w:sz w:val="14"/>
                <w:szCs w:val="14"/>
              </w:rPr>
            </w:pPr>
            <w:r w:rsidRPr="00565830">
              <w:rPr>
                <w:rFonts w:ascii="Arial" w:hAnsi="Arial" w:cs="Arial"/>
                <w:b/>
                <w:bCs/>
                <w:sz w:val="14"/>
                <w:szCs w:val="14"/>
              </w:rPr>
              <w:t>Enfoques transversales</w:t>
            </w:r>
          </w:p>
        </w:tc>
        <w:tc>
          <w:tcPr>
            <w:tcW w:w="1559" w:type="dxa"/>
            <w:gridSpan w:val="2"/>
            <w:vAlign w:val="center"/>
            <w:hideMark/>
          </w:tcPr>
          <w:p w14:paraId="0F692D32" w14:textId="77777777" w:rsidR="00F35C13" w:rsidRPr="00565830" w:rsidRDefault="00F35C13" w:rsidP="00CC56D2">
            <w:pPr>
              <w:jc w:val="center"/>
              <w:rPr>
                <w:rFonts w:ascii="Arial" w:hAnsi="Arial" w:cs="Arial"/>
                <w:sz w:val="14"/>
                <w:szCs w:val="14"/>
              </w:rPr>
            </w:pPr>
            <w:r w:rsidRPr="00565830">
              <w:rPr>
                <w:rFonts w:ascii="Arial" w:hAnsi="Arial" w:cs="Arial"/>
                <w:sz w:val="14"/>
                <w:szCs w:val="14"/>
              </w:rPr>
              <w:t>Perspectiva de Género</w:t>
            </w:r>
          </w:p>
        </w:tc>
      </w:tr>
      <w:tr w:rsidR="00F35C13" w:rsidRPr="00565830" w14:paraId="5DBA2DAF" w14:textId="77777777" w:rsidTr="00CC56D2">
        <w:trPr>
          <w:trHeight w:val="265"/>
        </w:trPr>
        <w:tc>
          <w:tcPr>
            <w:tcW w:w="13398" w:type="dxa"/>
            <w:gridSpan w:val="35"/>
            <w:vAlign w:val="center"/>
            <w:hideMark/>
          </w:tcPr>
          <w:p w14:paraId="43242C09" w14:textId="77777777" w:rsidR="00F35C13" w:rsidRPr="00565830" w:rsidRDefault="00F35C13" w:rsidP="00CC56D2">
            <w:pPr>
              <w:jc w:val="center"/>
              <w:rPr>
                <w:rFonts w:ascii="Arial" w:hAnsi="Arial" w:cs="Arial"/>
                <w:b/>
                <w:bCs/>
                <w:sz w:val="14"/>
                <w:szCs w:val="14"/>
              </w:rPr>
            </w:pPr>
            <w:r w:rsidRPr="00565830">
              <w:rPr>
                <w:rFonts w:ascii="Arial" w:hAnsi="Arial" w:cs="Arial"/>
                <w:b/>
                <w:bCs/>
                <w:sz w:val="14"/>
                <w:szCs w:val="14"/>
              </w:rPr>
              <w:t>Clasificación Funcional</w:t>
            </w:r>
          </w:p>
        </w:tc>
      </w:tr>
      <w:tr w:rsidR="00F35C13" w:rsidRPr="00565830" w14:paraId="1C889648" w14:textId="77777777" w:rsidTr="00CC56D2">
        <w:trPr>
          <w:trHeight w:val="844"/>
        </w:trPr>
        <w:tc>
          <w:tcPr>
            <w:tcW w:w="1063" w:type="dxa"/>
            <w:vAlign w:val="center"/>
            <w:hideMark/>
          </w:tcPr>
          <w:p w14:paraId="4A77794D" w14:textId="77777777" w:rsidR="00F35C13" w:rsidRPr="00565830" w:rsidRDefault="00F35C13" w:rsidP="00CC56D2">
            <w:pPr>
              <w:rPr>
                <w:rFonts w:ascii="Arial" w:hAnsi="Arial" w:cs="Arial"/>
                <w:b/>
                <w:bCs/>
                <w:sz w:val="14"/>
                <w:szCs w:val="14"/>
              </w:rPr>
            </w:pPr>
            <w:r w:rsidRPr="00565830">
              <w:rPr>
                <w:rFonts w:ascii="Arial" w:hAnsi="Arial" w:cs="Arial"/>
                <w:b/>
                <w:bCs/>
                <w:sz w:val="14"/>
                <w:szCs w:val="14"/>
              </w:rPr>
              <w:t>Finalidad</w:t>
            </w:r>
          </w:p>
        </w:tc>
        <w:tc>
          <w:tcPr>
            <w:tcW w:w="2479" w:type="dxa"/>
            <w:gridSpan w:val="9"/>
            <w:vAlign w:val="center"/>
            <w:hideMark/>
          </w:tcPr>
          <w:p w14:paraId="647559EF" w14:textId="77777777" w:rsidR="00F35C13" w:rsidRPr="00565830" w:rsidRDefault="00F35C13" w:rsidP="00CC56D2">
            <w:pPr>
              <w:jc w:val="center"/>
              <w:rPr>
                <w:rFonts w:ascii="Arial" w:hAnsi="Arial" w:cs="Arial"/>
                <w:sz w:val="14"/>
                <w:szCs w:val="14"/>
              </w:rPr>
            </w:pPr>
            <w:r w:rsidRPr="00565830">
              <w:rPr>
                <w:rFonts w:ascii="Arial" w:hAnsi="Arial" w:cs="Arial"/>
                <w:sz w:val="14"/>
                <w:szCs w:val="14"/>
              </w:rPr>
              <w:t>2 - Desarrollo Social</w:t>
            </w:r>
          </w:p>
        </w:tc>
        <w:tc>
          <w:tcPr>
            <w:tcW w:w="1374" w:type="dxa"/>
            <w:gridSpan w:val="4"/>
            <w:vAlign w:val="center"/>
            <w:hideMark/>
          </w:tcPr>
          <w:p w14:paraId="0508134C" w14:textId="77777777" w:rsidR="00F35C13" w:rsidRPr="00565830" w:rsidRDefault="00F35C13" w:rsidP="00CC56D2">
            <w:pPr>
              <w:jc w:val="center"/>
              <w:rPr>
                <w:rFonts w:ascii="Arial" w:hAnsi="Arial" w:cs="Arial"/>
                <w:b/>
                <w:bCs/>
                <w:sz w:val="14"/>
                <w:szCs w:val="14"/>
              </w:rPr>
            </w:pPr>
            <w:r w:rsidRPr="00565830">
              <w:rPr>
                <w:rFonts w:ascii="Arial" w:hAnsi="Arial" w:cs="Arial"/>
                <w:b/>
                <w:bCs/>
                <w:sz w:val="14"/>
                <w:szCs w:val="14"/>
              </w:rPr>
              <w:t>Función</w:t>
            </w:r>
          </w:p>
        </w:tc>
        <w:tc>
          <w:tcPr>
            <w:tcW w:w="1780" w:type="dxa"/>
            <w:gridSpan w:val="5"/>
            <w:vAlign w:val="center"/>
            <w:hideMark/>
          </w:tcPr>
          <w:p w14:paraId="21D90C8C" w14:textId="77777777" w:rsidR="00F35C13" w:rsidRPr="00565830" w:rsidRDefault="00F35C13" w:rsidP="00CC56D2">
            <w:pPr>
              <w:jc w:val="center"/>
              <w:rPr>
                <w:rFonts w:ascii="Arial" w:hAnsi="Arial" w:cs="Arial"/>
                <w:sz w:val="14"/>
                <w:szCs w:val="14"/>
              </w:rPr>
            </w:pPr>
            <w:r w:rsidRPr="00565830">
              <w:rPr>
                <w:rFonts w:ascii="Arial" w:hAnsi="Arial" w:cs="Arial"/>
                <w:sz w:val="14"/>
                <w:szCs w:val="14"/>
              </w:rPr>
              <w:t>3 - Salud</w:t>
            </w:r>
          </w:p>
        </w:tc>
        <w:tc>
          <w:tcPr>
            <w:tcW w:w="1342" w:type="dxa"/>
            <w:gridSpan w:val="3"/>
            <w:vAlign w:val="center"/>
            <w:hideMark/>
          </w:tcPr>
          <w:p w14:paraId="1EC32AB5" w14:textId="77777777" w:rsidR="00F35C13" w:rsidRPr="00565830" w:rsidRDefault="00F35C13" w:rsidP="00CC56D2">
            <w:pPr>
              <w:jc w:val="center"/>
              <w:rPr>
                <w:rFonts w:ascii="Arial" w:hAnsi="Arial" w:cs="Arial"/>
                <w:sz w:val="14"/>
                <w:szCs w:val="14"/>
              </w:rPr>
            </w:pPr>
          </w:p>
          <w:p w14:paraId="404A1F0C" w14:textId="77777777" w:rsidR="00F35C13" w:rsidRPr="00565830" w:rsidRDefault="00F35C13" w:rsidP="00CC56D2">
            <w:pPr>
              <w:jc w:val="center"/>
              <w:rPr>
                <w:rFonts w:ascii="Arial" w:hAnsi="Arial" w:cs="Arial"/>
                <w:b/>
                <w:bCs/>
                <w:sz w:val="14"/>
                <w:szCs w:val="14"/>
              </w:rPr>
            </w:pPr>
            <w:r w:rsidRPr="00565830">
              <w:rPr>
                <w:rFonts w:ascii="Arial" w:hAnsi="Arial" w:cs="Arial"/>
                <w:b/>
                <w:bCs/>
                <w:sz w:val="14"/>
                <w:szCs w:val="14"/>
              </w:rPr>
              <w:t>Subfunción</w:t>
            </w:r>
          </w:p>
        </w:tc>
        <w:tc>
          <w:tcPr>
            <w:tcW w:w="1822" w:type="dxa"/>
            <w:gridSpan w:val="5"/>
            <w:vAlign w:val="center"/>
            <w:hideMark/>
          </w:tcPr>
          <w:p w14:paraId="7695D929" w14:textId="77777777" w:rsidR="00F35C13" w:rsidRPr="00565830" w:rsidRDefault="00F35C13" w:rsidP="00CC56D2">
            <w:pPr>
              <w:jc w:val="center"/>
              <w:rPr>
                <w:rFonts w:ascii="Arial" w:hAnsi="Arial" w:cs="Arial"/>
                <w:sz w:val="14"/>
                <w:szCs w:val="14"/>
              </w:rPr>
            </w:pPr>
            <w:r w:rsidRPr="00565830">
              <w:rPr>
                <w:rFonts w:ascii="Arial" w:hAnsi="Arial" w:cs="Arial"/>
                <w:sz w:val="14"/>
                <w:szCs w:val="14"/>
              </w:rPr>
              <w:t>1 - Prestación de Servicios de Salud a la Comunidad</w:t>
            </w:r>
          </w:p>
        </w:tc>
        <w:tc>
          <w:tcPr>
            <w:tcW w:w="1447" w:type="dxa"/>
            <w:gridSpan w:val="5"/>
            <w:vAlign w:val="center"/>
            <w:hideMark/>
          </w:tcPr>
          <w:p w14:paraId="6DB8F6DF" w14:textId="77777777" w:rsidR="00F35C13" w:rsidRPr="00565830" w:rsidRDefault="00F35C13" w:rsidP="00CC56D2">
            <w:pPr>
              <w:jc w:val="center"/>
              <w:rPr>
                <w:rFonts w:ascii="Arial" w:hAnsi="Arial" w:cs="Arial"/>
                <w:b/>
                <w:bCs/>
                <w:sz w:val="14"/>
                <w:szCs w:val="14"/>
              </w:rPr>
            </w:pPr>
            <w:r w:rsidRPr="00565830">
              <w:rPr>
                <w:rFonts w:ascii="Arial" w:hAnsi="Arial" w:cs="Arial"/>
                <w:b/>
                <w:bCs/>
                <w:sz w:val="14"/>
                <w:szCs w:val="14"/>
              </w:rPr>
              <w:t>Actividad Institucional</w:t>
            </w:r>
          </w:p>
        </w:tc>
        <w:tc>
          <w:tcPr>
            <w:tcW w:w="2091" w:type="dxa"/>
            <w:gridSpan w:val="3"/>
            <w:vAlign w:val="center"/>
            <w:hideMark/>
          </w:tcPr>
          <w:p w14:paraId="6BE3C850" w14:textId="77777777" w:rsidR="00F35C13" w:rsidRPr="00565830" w:rsidRDefault="00F35C13" w:rsidP="00CC56D2">
            <w:pPr>
              <w:jc w:val="center"/>
              <w:rPr>
                <w:rFonts w:ascii="Arial" w:hAnsi="Arial" w:cs="Arial"/>
                <w:sz w:val="14"/>
                <w:szCs w:val="14"/>
              </w:rPr>
            </w:pPr>
            <w:r w:rsidRPr="00565830">
              <w:rPr>
                <w:rFonts w:ascii="Arial" w:hAnsi="Arial" w:cs="Arial"/>
                <w:sz w:val="14"/>
                <w:szCs w:val="14"/>
              </w:rPr>
              <w:t>23 - Fondo de aportaciones para los servicios de salud a la comunidad con recursos financieros suficientes</w:t>
            </w:r>
          </w:p>
        </w:tc>
      </w:tr>
      <w:tr w:rsidR="00F35C13" w:rsidRPr="00565830" w14:paraId="19DDA901" w14:textId="77777777" w:rsidTr="00CC56D2">
        <w:trPr>
          <w:trHeight w:val="272"/>
        </w:trPr>
        <w:tc>
          <w:tcPr>
            <w:tcW w:w="13398" w:type="dxa"/>
            <w:gridSpan w:val="35"/>
            <w:shd w:val="clear" w:color="auto" w:fill="A6A6A6" w:themeFill="background1" w:themeFillShade="A6"/>
            <w:noWrap/>
            <w:vAlign w:val="center"/>
            <w:hideMark/>
          </w:tcPr>
          <w:p w14:paraId="3EFA0D51" w14:textId="77777777" w:rsidR="00F35C13" w:rsidRPr="00565830" w:rsidRDefault="00F35C13" w:rsidP="00CC56D2">
            <w:pPr>
              <w:jc w:val="center"/>
              <w:rPr>
                <w:rFonts w:ascii="Arial" w:hAnsi="Arial" w:cs="Arial"/>
                <w:b/>
                <w:bCs/>
                <w:sz w:val="14"/>
                <w:szCs w:val="14"/>
              </w:rPr>
            </w:pPr>
            <w:r w:rsidRPr="00565830">
              <w:rPr>
                <w:rFonts w:ascii="Arial" w:hAnsi="Arial" w:cs="Arial"/>
                <w:b/>
                <w:bCs/>
                <w:sz w:val="14"/>
                <w:szCs w:val="14"/>
              </w:rPr>
              <w:t>RESULTADOS</w:t>
            </w:r>
          </w:p>
        </w:tc>
      </w:tr>
      <w:tr w:rsidR="00F35C13" w:rsidRPr="00565830" w14:paraId="38FB5F85" w14:textId="77777777" w:rsidTr="00CC56D2">
        <w:trPr>
          <w:trHeight w:val="275"/>
        </w:trPr>
        <w:tc>
          <w:tcPr>
            <w:tcW w:w="1242" w:type="dxa"/>
            <w:gridSpan w:val="2"/>
            <w:vMerge w:val="restart"/>
            <w:shd w:val="clear" w:color="auto" w:fill="D9D9D9" w:themeFill="background1" w:themeFillShade="D9"/>
            <w:vAlign w:val="center"/>
            <w:hideMark/>
          </w:tcPr>
          <w:p w14:paraId="67A95743" w14:textId="77777777" w:rsidR="00F35C13" w:rsidRPr="00565830" w:rsidRDefault="00F35C13" w:rsidP="00CC56D2">
            <w:pPr>
              <w:jc w:val="center"/>
              <w:rPr>
                <w:rFonts w:ascii="Arial" w:hAnsi="Arial" w:cs="Arial"/>
                <w:b/>
                <w:bCs/>
                <w:sz w:val="14"/>
                <w:szCs w:val="14"/>
              </w:rPr>
            </w:pPr>
            <w:r w:rsidRPr="00565830">
              <w:rPr>
                <w:rFonts w:ascii="Arial" w:hAnsi="Arial" w:cs="Arial"/>
                <w:b/>
                <w:bCs/>
                <w:sz w:val="14"/>
                <w:szCs w:val="14"/>
              </w:rPr>
              <w:t>NIVEL</w:t>
            </w:r>
          </w:p>
        </w:tc>
        <w:tc>
          <w:tcPr>
            <w:tcW w:w="1984" w:type="dxa"/>
            <w:gridSpan w:val="6"/>
            <w:vMerge w:val="restart"/>
            <w:shd w:val="clear" w:color="auto" w:fill="D9D9D9" w:themeFill="background1" w:themeFillShade="D9"/>
            <w:vAlign w:val="center"/>
            <w:hideMark/>
          </w:tcPr>
          <w:p w14:paraId="6685A59D" w14:textId="77777777" w:rsidR="00F35C13" w:rsidRPr="00565830" w:rsidRDefault="00F35C13" w:rsidP="00CC56D2">
            <w:pPr>
              <w:jc w:val="center"/>
              <w:rPr>
                <w:rFonts w:ascii="Arial" w:hAnsi="Arial" w:cs="Arial"/>
                <w:b/>
                <w:bCs/>
                <w:sz w:val="14"/>
                <w:szCs w:val="14"/>
              </w:rPr>
            </w:pPr>
            <w:r w:rsidRPr="00565830">
              <w:rPr>
                <w:rFonts w:ascii="Arial" w:hAnsi="Arial" w:cs="Arial"/>
                <w:b/>
                <w:bCs/>
                <w:sz w:val="14"/>
                <w:szCs w:val="14"/>
              </w:rPr>
              <w:t>OBJETIVOS</w:t>
            </w:r>
          </w:p>
        </w:tc>
        <w:tc>
          <w:tcPr>
            <w:tcW w:w="8081" w:type="dxa"/>
            <w:gridSpan w:val="24"/>
            <w:shd w:val="clear" w:color="auto" w:fill="D9D9D9" w:themeFill="background1" w:themeFillShade="D9"/>
            <w:vAlign w:val="center"/>
            <w:hideMark/>
          </w:tcPr>
          <w:p w14:paraId="302F770A" w14:textId="77777777" w:rsidR="00F35C13" w:rsidRPr="00565830" w:rsidRDefault="00F35C13" w:rsidP="00CC56D2">
            <w:pPr>
              <w:jc w:val="center"/>
              <w:rPr>
                <w:rFonts w:ascii="Arial" w:hAnsi="Arial" w:cs="Arial"/>
                <w:b/>
                <w:bCs/>
                <w:sz w:val="14"/>
                <w:szCs w:val="14"/>
              </w:rPr>
            </w:pPr>
            <w:r w:rsidRPr="00565830">
              <w:rPr>
                <w:rFonts w:ascii="Arial" w:hAnsi="Arial" w:cs="Arial"/>
                <w:b/>
                <w:bCs/>
                <w:sz w:val="14"/>
                <w:szCs w:val="14"/>
              </w:rPr>
              <w:t>INDICADORES</w:t>
            </w:r>
          </w:p>
        </w:tc>
        <w:tc>
          <w:tcPr>
            <w:tcW w:w="2091" w:type="dxa"/>
            <w:gridSpan w:val="3"/>
            <w:shd w:val="clear" w:color="auto" w:fill="D9D9D9" w:themeFill="background1" w:themeFillShade="D9"/>
            <w:vAlign w:val="center"/>
            <w:hideMark/>
          </w:tcPr>
          <w:p w14:paraId="27F68FE7" w14:textId="77777777" w:rsidR="00F35C13" w:rsidRPr="00565830" w:rsidRDefault="00F35C13" w:rsidP="00CC56D2">
            <w:pPr>
              <w:jc w:val="center"/>
              <w:rPr>
                <w:rFonts w:ascii="Arial" w:hAnsi="Arial" w:cs="Arial"/>
                <w:b/>
                <w:bCs/>
                <w:sz w:val="14"/>
                <w:szCs w:val="14"/>
              </w:rPr>
            </w:pPr>
            <w:r w:rsidRPr="00565830">
              <w:rPr>
                <w:rFonts w:ascii="Arial" w:hAnsi="Arial" w:cs="Arial"/>
                <w:b/>
                <w:bCs/>
                <w:sz w:val="14"/>
                <w:szCs w:val="14"/>
              </w:rPr>
              <w:t>AVANCE</w:t>
            </w:r>
          </w:p>
        </w:tc>
      </w:tr>
      <w:tr w:rsidR="00F35C13" w:rsidRPr="00565830" w14:paraId="57BEE744" w14:textId="77777777" w:rsidTr="00CC56D2">
        <w:trPr>
          <w:trHeight w:val="390"/>
        </w:trPr>
        <w:tc>
          <w:tcPr>
            <w:tcW w:w="1242" w:type="dxa"/>
            <w:gridSpan w:val="2"/>
            <w:vMerge/>
            <w:shd w:val="clear" w:color="auto" w:fill="D9D9D9" w:themeFill="background1" w:themeFillShade="D9"/>
            <w:vAlign w:val="center"/>
            <w:hideMark/>
          </w:tcPr>
          <w:p w14:paraId="1E8C398D" w14:textId="77777777" w:rsidR="00F35C13" w:rsidRPr="00565830" w:rsidRDefault="00F35C13" w:rsidP="00CC56D2">
            <w:pPr>
              <w:rPr>
                <w:rFonts w:ascii="Arial" w:hAnsi="Arial" w:cs="Arial"/>
                <w:b/>
                <w:bCs/>
                <w:sz w:val="14"/>
                <w:szCs w:val="14"/>
              </w:rPr>
            </w:pPr>
          </w:p>
        </w:tc>
        <w:tc>
          <w:tcPr>
            <w:tcW w:w="1984" w:type="dxa"/>
            <w:gridSpan w:val="6"/>
            <w:vMerge/>
            <w:shd w:val="clear" w:color="auto" w:fill="D9D9D9" w:themeFill="background1" w:themeFillShade="D9"/>
            <w:vAlign w:val="center"/>
            <w:hideMark/>
          </w:tcPr>
          <w:p w14:paraId="04888D99" w14:textId="77777777" w:rsidR="00F35C13" w:rsidRPr="00565830" w:rsidRDefault="00F35C13" w:rsidP="00CC56D2">
            <w:pPr>
              <w:rPr>
                <w:rFonts w:ascii="Arial" w:hAnsi="Arial" w:cs="Arial"/>
                <w:b/>
                <w:bCs/>
                <w:sz w:val="14"/>
                <w:szCs w:val="14"/>
              </w:rPr>
            </w:pPr>
          </w:p>
        </w:tc>
        <w:tc>
          <w:tcPr>
            <w:tcW w:w="1985" w:type="dxa"/>
            <w:gridSpan w:val="7"/>
            <w:vMerge w:val="restart"/>
            <w:shd w:val="clear" w:color="auto" w:fill="D9D9D9" w:themeFill="background1" w:themeFillShade="D9"/>
            <w:vAlign w:val="center"/>
            <w:hideMark/>
          </w:tcPr>
          <w:p w14:paraId="05ACE2FA" w14:textId="77777777" w:rsidR="00F35C13" w:rsidRPr="00565830" w:rsidRDefault="00F35C13" w:rsidP="00CC56D2">
            <w:pPr>
              <w:jc w:val="center"/>
              <w:rPr>
                <w:rFonts w:ascii="Arial" w:hAnsi="Arial" w:cs="Arial"/>
                <w:b/>
                <w:bCs/>
                <w:sz w:val="14"/>
                <w:szCs w:val="14"/>
              </w:rPr>
            </w:pPr>
            <w:r w:rsidRPr="00565830">
              <w:rPr>
                <w:rFonts w:ascii="Arial" w:hAnsi="Arial" w:cs="Arial"/>
                <w:b/>
                <w:bCs/>
                <w:sz w:val="14"/>
                <w:szCs w:val="14"/>
              </w:rPr>
              <w:t>Denominación</w:t>
            </w:r>
          </w:p>
        </w:tc>
        <w:tc>
          <w:tcPr>
            <w:tcW w:w="1985" w:type="dxa"/>
            <w:gridSpan w:val="5"/>
            <w:vMerge w:val="restart"/>
            <w:shd w:val="clear" w:color="auto" w:fill="D9D9D9" w:themeFill="background1" w:themeFillShade="D9"/>
            <w:vAlign w:val="center"/>
            <w:hideMark/>
          </w:tcPr>
          <w:p w14:paraId="548C53BB" w14:textId="77777777" w:rsidR="00F35C13" w:rsidRPr="00565830" w:rsidRDefault="00F35C13" w:rsidP="00CC56D2">
            <w:pPr>
              <w:jc w:val="center"/>
              <w:rPr>
                <w:rFonts w:ascii="Arial" w:hAnsi="Arial" w:cs="Arial"/>
                <w:b/>
                <w:bCs/>
                <w:sz w:val="14"/>
                <w:szCs w:val="14"/>
              </w:rPr>
            </w:pPr>
            <w:r w:rsidRPr="00565830">
              <w:rPr>
                <w:rFonts w:ascii="Arial" w:hAnsi="Arial" w:cs="Arial"/>
                <w:b/>
                <w:bCs/>
                <w:sz w:val="14"/>
                <w:szCs w:val="14"/>
              </w:rPr>
              <w:t>Método de cálculo</w:t>
            </w:r>
          </w:p>
        </w:tc>
        <w:tc>
          <w:tcPr>
            <w:tcW w:w="850" w:type="dxa"/>
            <w:gridSpan w:val="3"/>
            <w:vMerge w:val="restart"/>
            <w:shd w:val="clear" w:color="auto" w:fill="D9D9D9" w:themeFill="background1" w:themeFillShade="D9"/>
            <w:vAlign w:val="center"/>
            <w:hideMark/>
          </w:tcPr>
          <w:p w14:paraId="26750EA4" w14:textId="77777777" w:rsidR="00F35C13" w:rsidRPr="00565830" w:rsidRDefault="00F35C13" w:rsidP="00CC56D2">
            <w:pPr>
              <w:jc w:val="center"/>
              <w:rPr>
                <w:rFonts w:ascii="Arial" w:hAnsi="Arial" w:cs="Arial"/>
                <w:b/>
                <w:bCs/>
                <w:sz w:val="14"/>
                <w:szCs w:val="14"/>
              </w:rPr>
            </w:pPr>
            <w:r w:rsidRPr="00565830">
              <w:rPr>
                <w:rFonts w:ascii="Arial" w:hAnsi="Arial" w:cs="Arial"/>
                <w:b/>
                <w:bCs/>
                <w:sz w:val="14"/>
                <w:szCs w:val="14"/>
              </w:rPr>
              <w:t>Unidad de medida</w:t>
            </w:r>
          </w:p>
        </w:tc>
        <w:tc>
          <w:tcPr>
            <w:tcW w:w="1134" w:type="dxa"/>
            <w:gridSpan w:val="3"/>
            <w:vMerge w:val="restart"/>
            <w:shd w:val="clear" w:color="auto" w:fill="D9D9D9" w:themeFill="background1" w:themeFillShade="D9"/>
            <w:vAlign w:val="center"/>
            <w:hideMark/>
          </w:tcPr>
          <w:p w14:paraId="73BF7E05" w14:textId="77777777" w:rsidR="00F35C13" w:rsidRPr="00565830" w:rsidRDefault="00F35C13" w:rsidP="00CC56D2">
            <w:pPr>
              <w:jc w:val="center"/>
              <w:rPr>
                <w:rFonts w:ascii="Arial" w:hAnsi="Arial" w:cs="Arial"/>
                <w:b/>
                <w:bCs/>
                <w:sz w:val="14"/>
                <w:szCs w:val="14"/>
              </w:rPr>
            </w:pPr>
            <w:r w:rsidRPr="00565830">
              <w:rPr>
                <w:rFonts w:ascii="Arial" w:hAnsi="Arial" w:cs="Arial"/>
                <w:b/>
                <w:bCs/>
                <w:sz w:val="14"/>
                <w:szCs w:val="14"/>
              </w:rPr>
              <w:t>Tipo-Dimensión-Frecuencia</w:t>
            </w:r>
          </w:p>
        </w:tc>
        <w:tc>
          <w:tcPr>
            <w:tcW w:w="2127" w:type="dxa"/>
            <w:gridSpan w:val="6"/>
            <w:shd w:val="clear" w:color="auto" w:fill="D9D9D9" w:themeFill="background1" w:themeFillShade="D9"/>
            <w:vAlign w:val="center"/>
            <w:hideMark/>
          </w:tcPr>
          <w:p w14:paraId="14527ADB" w14:textId="77777777" w:rsidR="00F35C13" w:rsidRPr="00565830" w:rsidRDefault="00F35C13" w:rsidP="00CC56D2">
            <w:pPr>
              <w:jc w:val="center"/>
              <w:rPr>
                <w:rFonts w:ascii="Arial" w:hAnsi="Arial" w:cs="Arial"/>
                <w:b/>
                <w:bCs/>
                <w:sz w:val="14"/>
                <w:szCs w:val="14"/>
              </w:rPr>
            </w:pPr>
            <w:r w:rsidRPr="00565830">
              <w:rPr>
                <w:rFonts w:ascii="Arial" w:hAnsi="Arial" w:cs="Arial"/>
                <w:b/>
                <w:bCs/>
                <w:sz w:val="14"/>
                <w:szCs w:val="14"/>
              </w:rPr>
              <w:t>Meta anual</w:t>
            </w:r>
          </w:p>
        </w:tc>
        <w:tc>
          <w:tcPr>
            <w:tcW w:w="996" w:type="dxa"/>
            <w:gridSpan w:val="2"/>
            <w:vMerge w:val="restart"/>
            <w:shd w:val="clear" w:color="auto" w:fill="D9D9D9" w:themeFill="background1" w:themeFillShade="D9"/>
            <w:vAlign w:val="center"/>
            <w:hideMark/>
          </w:tcPr>
          <w:p w14:paraId="3B3FF2E9" w14:textId="77777777" w:rsidR="00F35C13" w:rsidRPr="00565830" w:rsidRDefault="00F35C13" w:rsidP="00CC56D2">
            <w:pPr>
              <w:jc w:val="center"/>
              <w:rPr>
                <w:rFonts w:ascii="Arial" w:hAnsi="Arial" w:cs="Arial"/>
                <w:b/>
                <w:bCs/>
                <w:sz w:val="14"/>
                <w:szCs w:val="14"/>
              </w:rPr>
            </w:pPr>
            <w:r w:rsidRPr="00565830">
              <w:rPr>
                <w:rFonts w:ascii="Arial" w:hAnsi="Arial" w:cs="Arial"/>
                <w:b/>
                <w:bCs/>
                <w:sz w:val="14"/>
                <w:szCs w:val="14"/>
              </w:rPr>
              <w:t>Realizado al periodo</w:t>
            </w:r>
          </w:p>
        </w:tc>
        <w:tc>
          <w:tcPr>
            <w:tcW w:w="1095" w:type="dxa"/>
            <w:vMerge w:val="restart"/>
            <w:shd w:val="clear" w:color="auto" w:fill="D9D9D9" w:themeFill="background1" w:themeFillShade="D9"/>
            <w:vAlign w:val="center"/>
            <w:hideMark/>
          </w:tcPr>
          <w:p w14:paraId="1F5695D6" w14:textId="77777777" w:rsidR="00F35C13" w:rsidRPr="00565830" w:rsidRDefault="00F35C13" w:rsidP="00CC56D2">
            <w:pPr>
              <w:jc w:val="center"/>
              <w:rPr>
                <w:rFonts w:ascii="Arial" w:hAnsi="Arial" w:cs="Arial"/>
                <w:b/>
                <w:bCs/>
                <w:sz w:val="14"/>
                <w:szCs w:val="14"/>
              </w:rPr>
            </w:pPr>
            <w:r w:rsidRPr="00565830">
              <w:rPr>
                <w:rFonts w:ascii="Arial" w:hAnsi="Arial" w:cs="Arial"/>
                <w:b/>
                <w:bCs/>
                <w:sz w:val="14"/>
                <w:szCs w:val="14"/>
              </w:rPr>
              <w:t>Avance % anual vs Modificada</w:t>
            </w:r>
          </w:p>
        </w:tc>
      </w:tr>
      <w:tr w:rsidR="00F35C13" w:rsidRPr="00565830" w14:paraId="68738B41" w14:textId="77777777" w:rsidTr="00CC56D2">
        <w:trPr>
          <w:trHeight w:val="303"/>
        </w:trPr>
        <w:tc>
          <w:tcPr>
            <w:tcW w:w="1242" w:type="dxa"/>
            <w:gridSpan w:val="2"/>
            <w:vMerge/>
            <w:vAlign w:val="center"/>
            <w:hideMark/>
          </w:tcPr>
          <w:p w14:paraId="51BB0234" w14:textId="77777777" w:rsidR="00F35C13" w:rsidRPr="00565830" w:rsidRDefault="00F35C13" w:rsidP="00CC56D2">
            <w:pPr>
              <w:rPr>
                <w:rFonts w:ascii="Arial" w:hAnsi="Arial" w:cs="Arial"/>
                <w:b/>
                <w:bCs/>
                <w:sz w:val="14"/>
                <w:szCs w:val="14"/>
              </w:rPr>
            </w:pPr>
          </w:p>
        </w:tc>
        <w:tc>
          <w:tcPr>
            <w:tcW w:w="1984" w:type="dxa"/>
            <w:gridSpan w:val="6"/>
            <w:vMerge/>
            <w:vAlign w:val="center"/>
            <w:hideMark/>
          </w:tcPr>
          <w:p w14:paraId="0E507151" w14:textId="77777777" w:rsidR="00F35C13" w:rsidRPr="00565830" w:rsidRDefault="00F35C13" w:rsidP="00CC56D2">
            <w:pPr>
              <w:rPr>
                <w:rFonts w:ascii="Arial" w:hAnsi="Arial" w:cs="Arial"/>
                <w:b/>
                <w:bCs/>
                <w:sz w:val="14"/>
                <w:szCs w:val="14"/>
              </w:rPr>
            </w:pPr>
          </w:p>
        </w:tc>
        <w:tc>
          <w:tcPr>
            <w:tcW w:w="1985" w:type="dxa"/>
            <w:gridSpan w:val="7"/>
            <w:vMerge/>
            <w:vAlign w:val="center"/>
            <w:hideMark/>
          </w:tcPr>
          <w:p w14:paraId="3F17DD88" w14:textId="77777777" w:rsidR="00F35C13" w:rsidRPr="00565830" w:rsidRDefault="00F35C13" w:rsidP="00CC56D2">
            <w:pPr>
              <w:rPr>
                <w:rFonts w:ascii="Arial" w:hAnsi="Arial" w:cs="Arial"/>
                <w:b/>
                <w:bCs/>
                <w:sz w:val="14"/>
                <w:szCs w:val="14"/>
              </w:rPr>
            </w:pPr>
          </w:p>
        </w:tc>
        <w:tc>
          <w:tcPr>
            <w:tcW w:w="1985" w:type="dxa"/>
            <w:gridSpan w:val="5"/>
            <w:vMerge/>
            <w:vAlign w:val="center"/>
            <w:hideMark/>
          </w:tcPr>
          <w:p w14:paraId="119A9196" w14:textId="77777777" w:rsidR="00F35C13" w:rsidRPr="00565830" w:rsidRDefault="00F35C13" w:rsidP="00CC56D2">
            <w:pPr>
              <w:rPr>
                <w:rFonts w:ascii="Arial" w:hAnsi="Arial" w:cs="Arial"/>
                <w:b/>
                <w:bCs/>
                <w:sz w:val="14"/>
                <w:szCs w:val="14"/>
              </w:rPr>
            </w:pPr>
          </w:p>
        </w:tc>
        <w:tc>
          <w:tcPr>
            <w:tcW w:w="850" w:type="dxa"/>
            <w:gridSpan w:val="3"/>
            <w:vMerge/>
            <w:vAlign w:val="center"/>
            <w:hideMark/>
          </w:tcPr>
          <w:p w14:paraId="71CFDF89" w14:textId="77777777" w:rsidR="00F35C13" w:rsidRPr="00565830" w:rsidRDefault="00F35C13" w:rsidP="00CC56D2">
            <w:pPr>
              <w:rPr>
                <w:rFonts w:ascii="Arial" w:hAnsi="Arial" w:cs="Arial"/>
                <w:b/>
                <w:bCs/>
                <w:sz w:val="14"/>
                <w:szCs w:val="14"/>
              </w:rPr>
            </w:pPr>
          </w:p>
        </w:tc>
        <w:tc>
          <w:tcPr>
            <w:tcW w:w="1134" w:type="dxa"/>
            <w:gridSpan w:val="3"/>
            <w:vMerge/>
            <w:vAlign w:val="center"/>
            <w:hideMark/>
          </w:tcPr>
          <w:p w14:paraId="4EBF85E0" w14:textId="77777777" w:rsidR="00F35C13" w:rsidRPr="00565830" w:rsidRDefault="00F35C13" w:rsidP="00CC56D2">
            <w:pPr>
              <w:rPr>
                <w:rFonts w:ascii="Arial" w:hAnsi="Arial" w:cs="Arial"/>
                <w:b/>
                <w:bCs/>
                <w:sz w:val="14"/>
                <w:szCs w:val="14"/>
              </w:rPr>
            </w:pPr>
          </w:p>
        </w:tc>
        <w:tc>
          <w:tcPr>
            <w:tcW w:w="993" w:type="dxa"/>
            <w:gridSpan w:val="3"/>
            <w:shd w:val="clear" w:color="auto" w:fill="D9D9D9" w:themeFill="background1" w:themeFillShade="D9"/>
            <w:vAlign w:val="center"/>
            <w:hideMark/>
          </w:tcPr>
          <w:p w14:paraId="247FCD00" w14:textId="77777777" w:rsidR="00F35C13" w:rsidRPr="00565830" w:rsidRDefault="00F35C13" w:rsidP="00CC56D2">
            <w:pPr>
              <w:jc w:val="center"/>
              <w:rPr>
                <w:rFonts w:ascii="Arial" w:hAnsi="Arial" w:cs="Arial"/>
                <w:b/>
                <w:bCs/>
                <w:sz w:val="14"/>
                <w:szCs w:val="14"/>
              </w:rPr>
            </w:pPr>
            <w:r w:rsidRPr="00565830">
              <w:rPr>
                <w:rFonts w:ascii="Arial" w:hAnsi="Arial" w:cs="Arial"/>
                <w:b/>
                <w:bCs/>
                <w:sz w:val="14"/>
                <w:szCs w:val="14"/>
              </w:rPr>
              <w:t>Aprobada</w:t>
            </w:r>
          </w:p>
        </w:tc>
        <w:tc>
          <w:tcPr>
            <w:tcW w:w="1134" w:type="dxa"/>
            <w:gridSpan w:val="3"/>
            <w:shd w:val="clear" w:color="auto" w:fill="D9D9D9" w:themeFill="background1" w:themeFillShade="D9"/>
            <w:vAlign w:val="center"/>
            <w:hideMark/>
          </w:tcPr>
          <w:p w14:paraId="55E83EAF" w14:textId="77777777" w:rsidR="00F35C13" w:rsidRPr="00565830" w:rsidRDefault="00F35C13" w:rsidP="00CC56D2">
            <w:pPr>
              <w:jc w:val="center"/>
              <w:rPr>
                <w:rFonts w:ascii="Arial" w:hAnsi="Arial" w:cs="Arial"/>
                <w:b/>
                <w:bCs/>
                <w:sz w:val="14"/>
                <w:szCs w:val="14"/>
              </w:rPr>
            </w:pPr>
            <w:r w:rsidRPr="00565830">
              <w:rPr>
                <w:rFonts w:ascii="Arial" w:hAnsi="Arial" w:cs="Arial"/>
                <w:b/>
                <w:bCs/>
                <w:sz w:val="14"/>
                <w:szCs w:val="14"/>
              </w:rPr>
              <w:t>Modificada</w:t>
            </w:r>
          </w:p>
        </w:tc>
        <w:tc>
          <w:tcPr>
            <w:tcW w:w="996" w:type="dxa"/>
            <w:gridSpan w:val="2"/>
            <w:vMerge/>
            <w:vAlign w:val="center"/>
            <w:hideMark/>
          </w:tcPr>
          <w:p w14:paraId="49B99691" w14:textId="77777777" w:rsidR="00F35C13" w:rsidRPr="00565830" w:rsidRDefault="00F35C13" w:rsidP="00CC56D2">
            <w:pPr>
              <w:rPr>
                <w:rFonts w:ascii="Arial" w:hAnsi="Arial" w:cs="Arial"/>
                <w:b/>
                <w:bCs/>
                <w:sz w:val="14"/>
                <w:szCs w:val="14"/>
              </w:rPr>
            </w:pPr>
          </w:p>
        </w:tc>
        <w:tc>
          <w:tcPr>
            <w:tcW w:w="1095" w:type="dxa"/>
            <w:vMerge/>
            <w:vAlign w:val="center"/>
            <w:hideMark/>
          </w:tcPr>
          <w:p w14:paraId="6FD20E17" w14:textId="77777777" w:rsidR="00F35C13" w:rsidRPr="00565830" w:rsidRDefault="00F35C13" w:rsidP="00CC56D2">
            <w:pPr>
              <w:rPr>
                <w:rFonts w:ascii="Arial" w:hAnsi="Arial" w:cs="Arial"/>
                <w:b/>
                <w:bCs/>
                <w:sz w:val="14"/>
                <w:szCs w:val="14"/>
              </w:rPr>
            </w:pPr>
          </w:p>
        </w:tc>
      </w:tr>
      <w:tr w:rsidR="00F35C13" w:rsidRPr="00565830" w14:paraId="548ACB6B" w14:textId="77777777" w:rsidTr="00CC56D2">
        <w:trPr>
          <w:trHeight w:val="3396"/>
        </w:trPr>
        <w:tc>
          <w:tcPr>
            <w:tcW w:w="1242" w:type="dxa"/>
            <w:gridSpan w:val="2"/>
            <w:vMerge w:val="restart"/>
            <w:vAlign w:val="center"/>
            <w:hideMark/>
          </w:tcPr>
          <w:p w14:paraId="33B2230B" w14:textId="77777777" w:rsidR="00F35C13" w:rsidRPr="00565830" w:rsidRDefault="00F35C13" w:rsidP="00CC56D2">
            <w:pPr>
              <w:jc w:val="center"/>
              <w:rPr>
                <w:rFonts w:ascii="Arial" w:hAnsi="Arial" w:cs="Arial"/>
                <w:b/>
                <w:bCs/>
                <w:sz w:val="14"/>
                <w:szCs w:val="14"/>
              </w:rPr>
            </w:pPr>
            <w:r w:rsidRPr="00565830">
              <w:rPr>
                <w:rFonts w:ascii="Arial" w:hAnsi="Arial" w:cs="Arial"/>
                <w:b/>
                <w:bCs/>
                <w:sz w:val="14"/>
                <w:szCs w:val="14"/>
              </w:rPr>
              <w:lastRenderedPageBreak/>
              <w:t>FIN</w:t>
            </w:r>
          </w:p>
          <w:p w14:paraId="53F71C16" w14:textId="77777777" w:rsidR="00F35C13" w:rsidRPr="00565830" w:rsidRDefault="00F35C13" w:rsidP="00CC56D2">
            <w:pPr>
              <w:rPr>
                <w:rFonts w:ascii="Arial" w:hAnsi="Arial" w:cs="Arial"/>
                <w:b/>
                <w:bCs/>
                <w:sz w:val="14"/>
                <w:szCs w:val="14"/>
              </w:rPr>
            </w:pPr>
            <w:r w:rsidRPr="00565830">
              <w:rPr>
                <w:rFonts w:ascii="Arial" w:hAnsi="Arial" w:cs="Arial"/>
                <w:b/>
                <w:bCs/>
                <w:sz w:val="14"/>
                <w:szCs w:val="14"/>
              </w:rPr>
              <w:t> </w:t>
            </w:r>
          </w:p>
        </w:tc>
        <w:tc>
          <w:tcPr>
            <w:tcW w:w="1984" w:type="dxa"/>
            <w:gridSpan w:val="6"/>
            <w:vAlign w:val="center"/>
            <w:hideMark/>
          </w:tcPr>
          <w:p w14:paraId="49FD4F95" w14:textId="77777777" w:rsidR="00F35C13" w:rsidRPr="00565830" w:rsidRDefault="00F35C13" w:rsidP="00CC56D2">
            <w:pPr>
              <w:rPr>
                <w:rFonts w:ascii="Arial" w:hAnsi="Arial" w:cs="Arial"/>
                <w:sz w:val="14"/>
                <w:szCs w:val="14"/>
              </w:rPr>
            </w:pPr>
            <w:r w:rsidRPr="00565830">
              <w:rPr>
                <w:rFonts w:ascii="Arial" w:hAnsi="Arial" w:cs="Arial"/>
                <w:sz w:val="14"/>
                <w:szCs w:val="14"/>
              </w:rPr>
              <w:t>Contribuir al bienestar social e igualdad mediante el ingreso a tratamiento oportuno y específico de casos nuevos de enfermedades infecciosas y transmisibles que están bajo la responsabilidad del Centro Nacional de Programas Preventivos y Control de Enfermedades (CENAPRECE) como son: Tuberculosis, lepra, dengue, paludismo, chagas, leshmaniasis, picadura de alacrán, mordedura por perro y otras especies, en apoyo a las poblaciones vulnerables de las entidades federativas.</w:t>
            </w:r>
          </w:p>
        </w:tc>
        <w:tc>
          <w:tcPr>
            <w:tcW w:w="1985" w:type="dxa"/>
            <w:gridSpan w:val="7"/>
            <w:vAlign w:val="center"/>
            <w:hideMark/>
          </w:tcPr>
          <w:p w14:paraId="15E2EDEF" w14:textId="77777777" w:rsidR="00F35C13" w:rsidRPr="00565830" w:rsidRDefault="00F35C13" w:rsidP="00CC56D2">
            <w:pPr>
              <w:rPr>
                <w:rFonts w:ascii="Arial" w:hAnsi="Arial" w:cs="Arial"/>
                <w:sz w:val="14"/>
                <w:szCs w:val="14"/>
              </w:rPr>
            </w:pPr>
            <w:r w:rsidRPr="00565830">
              <w:rPr>
                <w:rFonts w:ascii="Arial" w:hAnsi="Arial" w:cs="Arial"/>
                <w:sz w:val="14"/>
                <w:szCs w:val="14"/>
              </w:rPr>
              <w:t>Cobertura de tratamiento de casos nuevos de enfermedades infecciosas y transmisibles</w:t>
            </w:r>
          </w:p>
        </w:tc>
        <w:tc>
          <w:tcPr>
            <w:tcW w:w="1985" w:type="dxa"/>
            <w:gridSpan w:val="5"/>
            <w:vAlign w:val="center"/>
            <w:hideMark/>
          </w:tcPr>
          <w:p w14:paraId="3DCEA565" w14:textId="77777777" w:rsidR="00F35C13" w:rsidRPr="00565830" w:rsidRDefault="00F35C13" w:rsidP="00CC56D2">
            <w:pPr>
              <w:rPr>
                <w:rFonts w:ascii="Arial" w:hAnsi="Arial" w:cs="Arial"/>
                <w:sz w:val="14"/>
                <w:szCs w:val="14"/>
              </w:rPr>
            </w:pPr>
            <w:r w:rsidRPr="00565830">
              <w:rPr>
                <w:rFonts w:ascii="Arial" w:hAnsi="Arial" w:cs="Arial"/>
                <w:sz w:val="14"/>
                <w:szCs w:val="14"/>
              </w:rPr>
              <w:t xml:space="preserve">(Número de casos nuevos de enfermedades infecciosas y transmisibles que ingresan a tratamiento </w:t>
            </w:r>
            <w:proofErr w:type="gramStart"/>
            <w:r w:rsidRPr="00565830">
              <w:rPr>
                <w:rFonts w:ascii="Arial" w:hAnsi="Arial" w:cs="Arial"/>
                <w:sz w:val="14"/>
                <w:szCs w:val="14"/>
              </w:rPr>
              <w:t>específico)/</w:t>
            </w:r>
            <w:proofErr w:type="gramEnd"/>
            <w:r w:rsidRPr="00565830">
              <w:rPr>
                <w:rFonts w:ascii="Arial" w:hAnsi="Arial" w:cs="Arial"/>
                <w:sz w:val="14"/>
                <w:szCs w:val="14"/>
              </w:rPr>
              <w:t>(Número de casos nuevos de enfermedades infecciosas y transmisibles diagnosticados) X 100</w:t>
            </w:r>
          </w:p>
        </w:tc>
        <w:tc>
          <w:tcPr>
            <w:tcW w:w="850" w:type="dxa"/>
            <w:gridSpan w:val="3"/>
            <w:vAlign w:val="center"/>
            <w:hideMark/>
          </w:tcPr>
          <w:p w14:paraId="3BABD6AE" w14:textId="77777777" w:rsidR="00F35C13" w:rsidRPr="00565830" w:rsidRDefault="00F35C13" w:rsidP="00CC56D2">
            <w:pPr>
              <w:jc w:val="center"/>
              <w:rPr>
                <w:rFonts w:ascii="Arial" w:hAnsi="Arial" w:cs="Arial"/>
                <w:sz w:val="14"/>
                <w:szCs w:val="14"/>
              </w:rPr>
            </w:pPr>
            <w:r w:rsidRPr="00565830">
              <w:rPr>
                <w:rFonts w:ascii="Arial" w:hAnsi="Arial" w:cs="Arial"/>
                <w:sz w:val="14"/>
                <w:szCs w:val="14"/>
              </w:rPr>
              <w:t>%</w:t>
            </w:r>
          </w:p>
        </w:tc>
        <w:tc>
          <w:tcPr>
            <w:tcW w:w="1134" w:type="dxa"/>
            <w:gridSpan w:val="3"/>
            <w:vAlign w:val="center"/>
            <w:hideMark/>
          </w:tcPr>
          <w:p w14:paraId="4A579386" w14:textId="77777777" w:rsidR="00F35C13" w:rsidRPr="00565830" w:rsidRDefault="00F35C13" w:rsidP="00CC56D2">
            <w:pPr>
              <w:rPr>
                <w:rFonts w:ascii="Arial" w:hAnsi="Arial" w:cs="Arial"/>
                <w:sz w:val="14"/>
                <w:szCs w:val="14"/>
              </w:rPr>
            </w:pPr>
            <w:r w:rsidRPr="00565830">
              <w:rPr>
                <w:rFonts w:ascii="Arial" w:hAnsi="Arial" w:cs="Arial"/>
                <w:sz w:val="14"/>
                <w:szCs w:val="14"/>
              </w:rPr>
              <w:t>Estratégico-Eficacia-Trimestral</w:t>
            </w:r>
          </w:p>
        </w:tc>
        <w:tc>
          <w:tcPr>
            <w:tcW w:w="993" w:type="dxa"/>
            <w:gridSpan w:val="3"/>
            <w:vAlign w:val="center"/>
            <w:hideMark/>
          </w:tcPr>
          <w:p w14:paraId="1CC34C01" w14:textId="77777777" w:rsidR="00F35C13" w:rsidRPr="00565830" w:rsidRDefault="00F35C13" w:rsidP="00CC56D2">
            <w:pPr>
              <w:jc w:val="center"/>
              <w:rPr>
                <w:rFonts w:ascii="Arial" w:hAnsi="Arial" w:cs="Arial"/>
                <w:sz w:val="14"/>
                <w:szCs w:val="14"/>
              </w:rPr>
            </w:pPr>
            <w:r w:rsidRPr="00565830">
              <w:rPr>
                <w:rFonts w:ascii="Arial" w:hAnsi="Arial" w:cs="Arial"/>
                <w:sz w:val="14"/>
                <w:szCs w:val="14"/>
              </w:rPr>
              <w:t>90.00</w:t>
            </w:r>
          </w:p>
        </w:tc>
        <w:tc>
          <w:tcPr>
            <w:tcW w:w="1134" w:type="dxa"/>
            <w:gridSpan w:val="3"/>
            <w:vAlign w:val="center"/>
            <w:hideMark/>
          </w:tcPr>
          <w:p w14:paraId="0B47916B" w14:textId="77777777" w:rsidR="00F35C13" w:rsidRPr="00565830" w:rsidRDefault="00F35C13" w:rsidP="00CC56D2">
            <w:pPr>
              <w:jc w:val="center"/>
              <w:rPr>
                <w:rFonts w:ascii="Arial" w:hAnsi="Arial" w:cs="Arial"/>
                <w:sz w:val="14"/>
                <w:szCs w:val="14"/>
              </w:rPr>
            </w:pPr>
            <w:r w:rsidRPr="00565830">
              <w:rPr>
                <w:rFonts w:ascii="Arial" w:hAnsi="Arial" w:cs="Arial"/>
                <w:sz w:val="14"/>
                <w:szCs w:val="14"/>
              </w:rPr>
              <w:t>100.00</w:t>
            </w:r>
          </w:p>
        </w:tc>
        <w:tc>
          <w:tcPr>
            <w:tcW w:w="996" w:type="dxa"/>
            <w:gridSpan w:val="2"/>
            <w:vAlign w:val="center"/>
            <w:hideMark/>
          </w:tcPr>
          <w:p w14:paraId="53A25B2F" w14:textId="77777777" w:rsidR="00F35C13" w:rsidRPr="00565830" w:rsidRDefault="00F35C13" w:rsidP="00CC56D2">
            <w:pPr>
              <w:jc w:val="center"/>
              <w:rPr>
                <w:rFonts w:ascii="Arial" w:hAnsi="Arial" w:cs="Arial"/>
                <w:sz w:val="14"/>
                <w:szCs w:val="14"/>
              </w:rPr>
            </w:pPr>
            <w:r w:rsidRPr="00565830">
              <w:rPr>
                <w:rFonts w:ascii="Arial" w:hAnsi="Arial" w:cs="Arial"/>
                <w:sz w:val="14"/>
                <w:szCs w:val="14"/>
              </w:rPr>
              <w:t>108.35</w:t>
            </w:r>
          </w:p>
        </w:tc>
        <w:tc>
          <w:tcPr>
            <w:tcW w:w="1095" w:type="dxa"/>
            <w:vAlign w:val="center"/>
            <w:hideMark/>
          </w:tcPr>
          <w:p w14:paraId="16910573" w14:textId="77777777" w:rsidR="00F35C13" w:rsidRPr="00565830" w:rsidRDefault="00F35C13" w:rsidP="00CC56D2">
            <w:pPr>
              <w:jc w:val="center"/>
              <w:rPr>
                <w:rFonts w:ascii="Arial" w:hAnsi="Arial" w:cs="Arial"/>
                <w:sz w:val="14"/>
                <w:szCs w:val="14"/>
              </w:rPr>
            </w:pPr>
            <w:r w:rsidRPr="00565830">
              <w:rPr>
                <w:rFonts w:ascii="Arial" w:hAnsi="Arial" w:cs="Arial"/>
                <w:sz w:val="14"/>
                <w:szCs w:val="14"/>
              </w:rPr>
              <w:t>108.4</w:t>
            </w:r>
          </w:p>
        </w:tc>
      </w:tr>
      <w:tr w:rsidR="00F35C13" w:rsidRPr="00565830" w14:paraId="10C008E3" w14:textId="77777777" w:rsidTr="00CC56D2">
        <w:trPr>
          <w:trHeight w:val="420"/>
        </w:trPr>
        <w:tc>
          <w:tcPr>
            <w:tcW w:w="1242" w:type="dxa"/>
            <w:gridSpan w:val="2"/>
            <w:vMerge/>
            <w:vAlign w:val="center"/>
            <w:hideMark/>
          </w:tcPr>
          <w:p w14:paraId="6BAA9C03" w14:textId="77777777" w:rsidR="00F35C13" w:rsidRPr="00565830" w:rsidRDefault="00F35C13" w:rsidP="00CC56D2">
            <w:pPr>
              <w:rPr>
                <w:rFonts w:ascii="Arial" w:hAnsi="Arial" w:cs="Arial"/>
                <w:b/>
                <w:bCs/>
                <w:sz w:val="14"/>
                <w:szCs w:val="14"/>
              </w:rPr>
            </w:pPr>
          </w:p>
        </w:tc>
        <w:tc>
          <w:tcPr>
            <w:tcW w:w="1984" w:type="dxa"/>
            <w:gridSpan w:val="6"/>
            <w:vAlign w:val="center"/>
            <w:hideMark/>
          </w:tcPr>
          <w:p w14:paraId="0B301E9F" w14:textId="77777777" w:rsidR="00F35C13" w:rsidRPr="00565830" w:rsidRDefault="00F35C13" w:rsidP="00CC56D2">
            <w:pPr>
              <w:rPr>
                <w:rFonts w:ascii="Arial" w:hAnsi="Arial" w:cs="Arial"/>
                <w:sz w:val="14"/>
                <w:szCs w:val="14"/>
              </w:rPr>
            </w:pPr>
            <w:r w:rsidRPr="00565830">
              <w:rPr>
                <w:rFonts w:ascii="Arial" w:hAnsi="Arial" w:cs="Arial"/>
                <w:sz w:val="14"/>
                <w:szCs w:val="14"/>
              </w:rPr>
              <w:t> </w:t>
            </w:r>
          </w:p>
        </w:tc>
        <w:tc>
          <w:tcPr>
            <w:tcW w:w="1985" w:type="dxa"/>
            <w:gridSpan w:val="7"/>
            <w:vAlign w:val="center"/>
            <w:hideMark/>
          </w:tcPr>
          <w:p w14:paraId="5013733B" w14:textId="77777777" w:rsidR="00F35C13" w:rsidRPr="00565830" w:rsidRDefault="00F35C13" w:rsidP="00CC56D2">
            <w:pPr>
              <w:rPr>
                <w:rFonts w:ascii="Arial" w:hAnsi="Arial" w:cs="Arial"/>
                <w:sz w:val="14"/>
                <w:szCs w:val="14"/>
              </w:rPr>
            </w:pPr>
            <w:r w:rsidRPr="00565830">
              <w:rPr>
                <w:rFonts w:ascii="Arial" w:hAnsi="Arial" w:cs="Arial"/>
                <w:sz w:val="14"/>
                <w:szCs w:val="14"/>
              </w:rPr>
              <w:t>Porcentaje de cambio entre el año base y el año de registro de casos nuevos confirmados de VIH por transmisión vertical</w:t>
            </w:r>
          </w:p>
        </w:tc>
        <w:tc>
          <w:tcPr>
            <w:tcW w:w="1985" w:type="dxa"/>
            <w:gridSpan w:val="5"/>
            <w:vAlign w:val="center"/>
            <w:hideMark/>
          </w:tcPr>
          <w:p w14:paraId="1538847D" w14:textId="77777777" w:rsidR="00F35C13" w:rsidRPr="00565830" w:rsidRDefault="00F35C13" w:rsidP="00CC56D2">
            <w:pPr>
              <w:rPr>
                <w:rFonts w:ascii="Arial" w:hAnsi="Arial" w:cs="Arial"/>
                <w:sz w:val="14"/>
                <w:szCs w:val="14"/>
              </w:rPr>
            </w:pPr>
            <w:r w:rsidRPr="00565830">
              <w:rPr>
                <w:rFonts w:ascii="Arial" w:hAnsi="Arial" w:cs="Arial"/>
                <w:sz w:val="14"/>
                <w:szCs w:val="14"/>
              </w:rPr>
              <w:t>Resulta de restarle al 100% el cociente del número de casos nuevos en recién nacidos diagnosticados con VIH del Sistema Especial de Vigilancia Epidemiológica de VIH/SIDA al 30 de junio de cada año entre el número de casos nuevos en recién nacidos diagnosticados con VIH del Sistema Especial de Vigilancia Epidemiológica de VIH/SIDA al 30 de junio de 2013.  Se consideran los casos nuevos de transmisión vertical (vía perinatal) diagnosticados con VIH en todas las instituciones del sector salud</w:t>
            </w:r>
          </w:p>
        </w:tc>
        <w:tc>
          <w:tcPr>
            <w:tcW w:w="850" w:type="dxa"/>
            <w:gridSpan w:val="3"/>
            <w:vAlign w:val="center"/>
            <w:hideMark/>
          </w:tcPr>
          <w:p w14:paraId="343F7206" w14:textId="77777777" w:rsidR="00F35C13" w:rsidRPr="00565830" w:rsidRDefault="00F35C13" w:rsidP="00CC56D2">
            <w:pPr>
              <w:jc w:val="center"/>
              <w:rPr>
                <w:rFonts w:ascii="Arial" w:hAnsi="Arial" w:cs="Arial"/>
                <w:sz w:val="14"/>
                <w:szCs w:val="14"/>
              </w:rPr>
            </w:pPr>
            <w:r w:rsidRPr="00565830">
              <w:rPr>
                <w:rFonts w:ascii="Arial" w:hAnsi="Arial" w:cs="Arial"/>
                <w:sz w:val="14"/>
                <w:szCs w:val="14"/>
              </w:rPr>
              <w:t>%</w:t>
            </w:r>
          </w:p>
        </w:tc>
        <w:tc>
          <w:tcPr>
            <w:tcW w:w="1134" w:type="dxa"/>
            <w:gridSpan w:val="3"/>
            <w:vAlign w:val="center"/>
            <w:hideMark/>
          </w:tcPr>
          <w:p w14:paraId="01061604" w14:textId="77777777" w:rsidR="00F35C13" w:rsidRPr="00565830" w:rsidRDefault="00F35C13" w:rsidP="00CC56D2">
            <w:pPr>
              <w:rPr>
                <w:rFonts w:ascii="Arial" w:hAnsi="Arial" w:cs="Arial"/>
                <w:sz w:val="14"/>
                <w:szCs w:val="14"/>
              </w:rPr>
            </w:pPr>
            <w:r w:rsidRPr="00565830">
              <w:rPr>
                <w:rFonts w:ascii="Arial" w:hAnsi="Arial" w:cs="Arial"/>
                <w:sz w:val="14"/>
                <w:szCs w:val="14"/>
              </w:rPr>
              <w:t>Estratégico-Eficacia-Anual</w:t>
            </w:r>
          </w:p>
        </w:tc>
        <w:tc>
          <w:tcPr>
            <w:tcW w:w="993" w:type="dxa"/>
            <w:gridSpan w:val="3"/>
            <w:vAlign w:val="center"/>
            <w:hideMark/>
          </w:tcPr>
          <w:p w14:paraId="61875604" w14:textId="77777777" w:rsidR="00F35C13" w:rsidRPr="00565830" w:rsidRDefault="00F35C13" w:rsidP="00CC56D2">
            <w:pPr>
              <w:jc w:val="center"/>
              <w:rPr>
                <w:rFonts w:ascii="Arial" w:hAnsi="Arial" w:cs="Arial"/>
                <w:sz w:val="14"/>
                <w:szCs w:val="14"/>
              </w:rPr>
            </w:pPr>
            <w:r w:rsidRPr="00565830">
              <w:rPr>
                <w:rFonts w:ascii="Arial" w:hAnsi="Arial" w:cs="Arial"/>
                <w:sz w:val="14"/>
                <w:szCs w:val="14"/>
              </w:rPr>
              <w:t>N/A</w:t>
            </w:r>
          </w:p>
        </w:tc>
        <w:tc>
          <w:tcPr>
            <w:tcW w:w="1134" w:type="dxa"/>
            <w:gridSpan w:val="3"/>
            <w:vAlign w:val="center"/>
            <w:hideMark/>
          </w:tcPr>
          <w:p w14:paraId="1FFBCAFF" w14:textId="77777777" w:rsidR="00F35C13" w:rsidRPr="00565830" w:rsidRDefault="00F35C13" w:rsidP="00CC56D2">
            <w:pPr>
              <w:jc w:val="center"/>
              <w:rPr>
                <w:rFonts w:ascii="Arial" w:hAnsi="Arial" w:cs="Arial"/>
                <w:sz w:val="14"/>
                <w:szCs w:val="14"/>
              </w:rPr>
            </w:pPr>
            <w:r w:rsidRPr="00565830">
              <w:rPr>
                <w:rFonts w:ascii="Arial" w:hAnsi="Arial" w:cs="Arial"/>
                <w:sz w:val="14"/>
                <w:szCs w:val="14"/>
              </w:rPr>
              <w:t>N/A</w:t>
            </w:r>
          </w:p>
        </w:tc>
        <w:tc>
          <w:tcPr>
            <w:tcW w:w="996" w:type="dxa"/>
            <w:gridSpan w:val="2"/>
            <w:vAlign w:val="center"/>
            <w:hideMark/>
          </w:tcPr>
          <w:p w14:paraId="19A75B07" w14:textId="77777777" w:rsidR="00F35C13" w:rsidRPr="00565830" w:rsidRDefault="00F35C13" w:rsidP="00CC56D2">
            <w:pPr>
              <w:jc w:val="center"/>
              <w:rPr>
                <w:rFonts w:ascii="Arial" w:hAnsi="Arial" w:cs="Arial"/>
                <w:sz w:val="14"/>
                <w:szCs w:val="14"/>
              </w:rPr>
            </w:pPr>
            <w:r w:rsidRPr="00565830">
              <w:rPr>
                <w:rFonts w:ascii="Arial" w:hAnsi="Arial" w:cs="Arial"/>
                <w:sz w:val="14"/>
                <w:szCs w:val="14"/>
              </w:rPr>
              <w:t>0</w:t>
            </w:r>
          </w:p>
        </w:tc>
        <w:tc>
          <w:tcPr>
            <w:tcW w:w="1095" w:type="dxa"/>
            <w:vAlign w:val="center"/>
            <w:hideMark/>
          </w:tcPr>
          <w:p w14:paraId="445BCC79" w14:textId="77777777" w:rsidR="00F35C13" w:rsidRPr="00565830" w:rsidRDefault="00F35C13" w:rsidP="00CC56D2">
            <w:pPr>
              <w:jc w:val="center"/>
              <w:rPr>
                <w:rFonts w:ascii="Arial" w:hAnsi="Arial" w:cs="Arial"/>
                <w:sz w:val="14"/>
                <w:szCs w:val="14"/>
              </w:rPr>
            </w:pPr>
            <w:r w:rsidRPr="00565830">
              <w:rPr>
                <w:rFonts w:ascii="Arial" w:hAnsi="Arial" w:cs="Arial"/>
                <w:sz w:val="14"/>
                <w:szCs w:val="14"/>
              </w:rPr>
              <w:t>0.00</w:t>
            </w:r>
          </w:p>
        </w:tc>
      </w:tr>
      <w:tr w:rsidR="00F35C13" w:rsidRPr="00565830" w14:paraId="17880B9C" w14:textId="77777777" w:rsidTr="00CC56D2">
        <w:trPr>
          <w:trHeight w:val="1711"/>
        </w:trPr>
        <w:tc>
          <w:tcPr>
            <w:tcW w:w="1242" w:type="dxa"/>
            <w:gridSpan w:val="2"/>
            <w:vAlign w:val="center"/>
            <w:hideMark/>
          </w:tcPr>
          <w:p w14:paraId="3221B885" w14:textId="77777777" w:rsidR="00F35C13" w:rsidRPr="00565830" w:rsidRDefault="00F35C13" w:rsidP="00CC56D2">
            <w:pPr>
              <w:rPr>
                <w:rFonts w:ascii="Arial" w:hAnsi="Arial" w:cs="Arial"/>
                <w:b/>
                <w:bCs/>
                <w:sz w:val="14"/>
                <w:szCs w:val="14"/>
              </w:rPr>
            </w:pPr>
            <w:r w:rsidRPr="00565830">
              <w:rPr>
                <w:rFonts w:ascii="Arial" w:hAnsi="Arial" w:cs="Arial"/>
                <w:b/>
                <w:bCs/>
                <w:sz w:val="14"/>
                <w:szCs w:val="14"/>
              </w:rPr>
              <w:lastRenderedPageBreak/>
              <w:t>Propósito</w:t>
            </w:r>
          </w:p>
        </w:tc>
        <w:tc>
          <w:tcPr>
            <w:tcW w:w="1984" w:type="dxa"/>
            <w:gridSpan w:val="6"/>
            <w:vAlign w:val="center"/>
            <w:hideMark/>
          </w:tcPr>
          <w:p w14:paraId="52B087CE" w14:textId="77777777" w:rsidR="00F35C13" w:rsidRPr="00565830" w:rsidRDefault="00F35C13" w:rsidP="00CC56D2">
            <w:pPr>
              <w:rPr>
                <w:rFonts w:ascii="Arial" w:hAnsi="Arial" w:cs="Arial"/>
                <w:sz w:val="14"/>
                <w:szCs w:val="14"/>
              </w:rPr>
            </w:pPr>
            <w:r w:rsidRPr="00565830">
              <w:rPr>
                <w:rFonts w:ascii="Arial" w:hAnsi="Arial" w:cs="Arial"/>
                <w:sz w:val="14"/>
                <w:szCs w:val="14"/>
              </w:rPr>
              <w:t>Otorgar diagnóstico oportuno de enfermedades como Tuberculosis, lepra, dengue, paludismo, chagas, leishmaniasis, picadura de alacrán, y mordedura por perro y otras especies a la población vulnerable en las entidades federativas</w:t>
            </w:r>
          </w:p>
        </w:tc>
        <w:tc>
          <w:tcPr>
            <w:tcW w:w="1985" w:type="dxa"/>
            <w:gridSpan w:val="7"/>
            <w:vAlign w:val="center"/>
            <w:hideMark/>
          </w:tcPr>
          <w:p w14:paraId="5956BA3C" w14:textId="77777777" w:rsidR="00F35C13" w:rsidRPr="00565830" w:rsidRDefault="00F35C13" w:rsidP="00CC56D2">
            <w:pPr>
              <w:rPr>
                <w:rFonts w:ascii="Arial" w:hAnsi="Arial" w:cs="Arial"/>
                <w:sz w:val="14"/>
                <w:szCs w:val="14"/>
              </w:rPr>
            </w:pPr>
            <w:r w:rsidRPr="00565830">
              <w:rPr>
                <w:rFonts w:ascii="Arial" w:hAnsi="Arial" w:cs="Arial"/>
                <w:sz w:val="14"/>
                <w:szCs w:val="14"/>
              </w:rPr>
              <w:t>Cobertura de notificación de casos nuevos de enfermedades infecciosas y transmisibles</w:t>
            </w:r>
          </w:p>
        </w:tc>
        <w:tc>
          <w:tcPr>
            <w:tcW w:w="1985" w:type="dxa"/>
            <w:gridSpan w:val="5"/>
            <w:vAlign w:val="center"/>
            <w:hideMark/>
          </w:tcPr>
          <w:p w14:paraId="6F3365D0" w14:textId="77777777" w:rsidR="00F35C13" w:rsidRPr="00565830" w:rsidRDefault="00F35C13" w:rsidP="00CC56D2">
            <w:pPr>
              <w:rPr>
                <w:rFonts w:ascii="Arial" w:hAnsi="Arial" w:cs="Arial"/>
                <w:sz w:val="14"/>
                <w:szCs w:val="14"/>
              </w:rPr>
            </w:pPr>
            <w:r w:rsidRPr="00565830">
              <w:rPr>
                <w:rFonts w:ascii="Arial" w:hAnsi="Arial" w:cs="Arial"/>
                <w:sz w:val="14"/>
                <w:szCs w:val="14"/>
              </w:rPr>
              <w:t xml:space="preserve">(Número de casos nuevos de enfermedades infecciosas y transmisibles </w:t>
            </w:r>
            <w:proofErr w:type="gramStart"/>
            <w:r w:rsidRPr="00565830">
              <w:rPr>
                <w:rFonts w:ascii="Arial" w:hAnsi="Arial" w:cs="Arial"/>
                <w:sz w:val="14"/>
                <w:szCs w:val="14"/>
              </w:rPr>
              <w:t>notificados)/</w:t>
            </w:r>
            <w:proofErr w:type="gramEnd"/>
            <w:r w:rsidRPr="00565830">
              <w:rPr>
                <w:rFonts w:ascii="Arial" w:hAnsi="Arial" w:cs="Arial"/>
                <w:sz w:val="14"/>
                <w:szCs w:val="14"/>
              </w:rPr>
              <w:t>(Número de casos nuevos de enfermedades infecciosas y transmisibles programados) X 100</w:t>
            </w:r>
          </w:p>
        </w:tc>
        <w:tc>
          <w:tcPr>
            <w:tcW w:w="850" w:type="dxa"/>
            <w:gridSpan w:val="3"/>
            <w:vAlign w:val="center"/>
            <w:hideMark/>
          </w:tcPr>
          <w:p w14:paraId="21D5CA7C" w14:textId="77777777" w:rsidR="00F35C13" w:rsidRPr="00565830" w:rsidRDefault="00F35C13" w:rsidP="00CC56D2">
            <w:pPr>
              <w:jc w:val="center"/>
              <w:rPr>
                <w:rFonts w:ascii="Arial" w:hAnsi="Arial" w:cs="Arial"/>
                <w:sz w:val="14"/>
                <w:szCs w:val="14"/>
              </w:rPr>
            </w:pPr>
            <w:r w:rsidRPr="00565830">
              <w:rPr>
                <w:rFonts w:ascii="Arial" w:hAnsi="Arial" w:cs="Arial"/>
                <w:sz w:val="14"/>
                <w:szCs w:val="14"/>
              </w:rPr>
              <w:t>%</w:t>
            </w:r>
          </w:p>
        </w:tc>
        <w:tc>
          <w:tcPr>
            <w:tcW w:w="1134" w:type="dxa"/>
            <w:gridSpan w:val="3"/>
            <w:vAlign w:val="center"/>
            <w:hideMark/>
          </w:tcPr>
          <w:p w14:paraId="21C5BC82" w14:textId="77777777" w:rsidR="00F35C13" w:rsidRPr="00565830" w:rsidRDefault="00F35C13" w:rsidP="00CC56D2">
            <w:pPr>
              <w:rPr>
                <w:rFonts w:ascii="Arial" w:hAnsi="Arial" w:cs="Arial"/>
                <w:sz w:val="14"/>
                <w:szCs w:val="14"/>
              </w:rPr>
            </w:pPr>
            <w:r w:rsidRPr="00565830">
              <w:rPr>
                <w:rFonts w:ascii="Arial" w:hAnsi="Arial" w:cs="Arial"/>
                <w:sz w:val="14"/>
                <w:szCs w:val="14"/>
              </w:rPr>
              <w:t>Estratégico-Eficacia-Trimestral</w:t>
            </w:r>
          </w:p>
        </w:tc>
        <w:tc>
          <w:tcPr>
            <w:tcW w:w="993" w:type="dxa"/>
            <w:gridSpan w:val="3"/>
            <w:vAlign w:val="center"/>
            <w:hideMark/>
          </w:tcPr>
          <w:p w14:paraId="39DD8950" w14:textId="77777777" w:rsidR="00F35C13" w:rsidRPr="00565830" w:rsidRDefault="00F35C13" w:rsidP="00CC56D2">
            <w:pPr>
              <w:jc w:val="center"/>
              <w:rPr>
                <w:rFonts w:ascii="Arial" w:hAnsi="Arial" w:cs="Arial"/>
                <w:sz w:val="14"/>
                <w:szCs w:val="14"/>
              </w:rPr>
            </w:pPr>
            <w:r w:rsidRPr="00565830">
              <w:rPr>
                <w:rFonts w:ascii="Arial" w:hAnsi="Arial" w:cs="Arial"/>
                <w:sz w:val="14"/>
                <w:szCs w:val="14"/>
              </w:rPr>
              <w:t>89.54</w:t>
            </w:r>
          </w:p>
        </w:tc>
        <w:tc>
          <w:tcPr>
            <w:tcW w:w="1134" w:type="dxa"/>
            <w:gridSpan w:val="3"/>
            <w:vAlign w:val="center"/>
            <w:hideMark/>
          </w:tcPr>
          <w:p w14:paraId="02E9A3D9" w14:textId="77777777" w:rsidR="00F35C13" w:rsidRPr="00565830" w:rsidRDefault="00F35C13" w:rsidP="00CC56D2">
            <w:pPr>
              <w:jc w:val="center"/>
              <w:rPr>
                <w:rFonts w:ascii="Arial" w:hAnsi="Arial" w:cs="Arial"/>
                <w:sz w:val="14"/>
                <w:szCs w:val="14"/>
              </w:rPr>
            </w:pPr>
            <w:r w:rsidRPr="00565830">
              <w:rPr>
                <w:rFonts w:ascii="Arial" w:hAnsi="Arial" w:cs="Arial"/>
                <w:sz w:val="14"/>
                <w:szCs w:val="14"/>
              </w:rPr>
              <w:t>89.54</w:t>
            </w:r>
          </w:p>
        </w:tc>
        <w:tc>
          <w:tcPr>
            <w:tcW w:w="996" w:type="dxa"/>
            <w:gridSpan w:val="2"/>
            <w:vAlign w:val="center"/>
            <w:hideMark/>
          </w:tcPr>
          <w:p w14:paraId="583F70E1" w14:textId="77777777" w:rsidR="00F35C13" w:rsidRPr="00565830" w:rsidRDefault="00F35C13" w:rsidP="00CC56D2">
            <w:pPr>
              <w:jc w:val="center"/>
              <w:rPr>
                <w:rFonts w:ascii="Arial" w:hAnsi="Arial" w:cs="Arial"/>
                <w:sz w:val="14"/>
                <w:szCs w:val="14"/>
              </w:rPr>
            </w:pPr>
            <w:r w:rsidRPr="00565830">
              <w:rPr>
                <w:rFonts w:ascii="Arial" w:hAnsi="Arial" w:cs="Arial"/>
                <w:sz w:val="14"/>
                <w:szCs w:val="14"/>
              </w:rPr>
              <w:t>93.74</w:t>
            </w:r>
          </w:p>
        </w:tc>
        <w:tc>
          <w:tcPr>
            <w:tcW w:w="1095" w:type="dxa"/>
            <w:vAlign w:val="center"/>
            <w:hideMark/>
          </w:tcPr>
          <w:p w14:paraId="14DA58A9" w14:textId="77777777" w:rsidR="00F35C13" w:rsidRPr="00565830" w:rsidRDefault="00F35C13" w:rsidP="00CC56D2">
            <w:pPr>
              <w:jc w:val="center"/>
              <w:rPr>
                <w:rFonts w:ascii="Arial" w:hAnsi="Arial" w:cs="Arial"/>
                <w:sz w:val="14"/>
                <w:szCs w:val="14"/>
              </w:rPr>
            </w:pPr>
            <w:r w:rsidRPr="00565830">
              <w:rPr>
                <w:rFonts w:ascii="Arial" w:hAnsi="Arial" w:cs="Arial"/>
                <w:sz w:val="14"/>
                <w:szCs w:val="14"/>
              </w:rPr>
              <w:t>104.7</w:t>
            </w:r>
          </w:p>
        </w:tc>
      </w:tr>
      <w:tr w:rsidR="00F35C13" w:rsidRPr="00565830" w14:paraId="1AA56947" w14:textId="77777777" w:rsidTr="00CC56D2">
        <w:trPr>
          <w:trHeight w:val="1500"/>
        </w:trPr>
        <w:tc>
          <w:tcPr>
            <w:tcW w:w="1242" w:type="dxa"/>
            <w:gridSpan w:val="2"/>
            <w:vMerge w:val="restart"/>
            <w:vAlign w:val="center"/>
            <w:hideMark/>
          </w:tcPr>
          <w:p w14:paraId="59322CB2" w14:textId="77777777" w:rsidR="00F35C13" w:rsidRPr="00565830" w:rsidRDefault="00F35C13" w:rsidP="00CC56D2">
            <w:pPr>
              <w:rPr>
                <w:rFonts w:ascii="Arial" w:hAnsi="Arial" w:cs="Arial"/>
                <w:b/>
                <w:bCs/>
                <w:sz w:val="14"/>
                <w:szCs w:val="14"/>
              </w:rPr>
            </w:pPr>
            <w:r w:rsidRPr="00565830">
              <w:rPr>
                <w:rFonts w:ascii="Arial" w:hAnsi="Arial" w:cs="Arial"/>
                <w:b/>
                <w:bCs/>
                <w:sz w:val="14"/>
                <w:szCs w:val="14"/>
              </w:rPr>
              <w:t>Componente</w:t>
            </w:r>
          </w:p>
          <w:p w14:paraId="74E99E60" w14:textId="77777777" w:rsidR="00F35C13" w:rsidRPr="00565830" w:rsidRDefault="00F35C13" w:rsidP="00CC56D2">
            <w:pPr>
              <w:rPr>
                <w:rFonts w:ascii="Arial" w:hAnsi="Arial" w:cs="Arial"/>
                <w:b/>
                <w:bCs/>
                <w:sz w:val="14"/>
                <w:szCs w:val="14"/>
              </w:rPr>
            </w:pPr>
            <w:r w:rsidRPr="00565830">
              <w:rPr>
                <w:rFonts w:ascii="Arial" w:hAnsi="Arial" w:cs="Arial"/>
                <w:b/>
                <w:bCs/>
                <w:sz w:val="14"/>
                <w:szCs w:val="14"/>
              </w:rPr>
              <w:t> </w:t>
            </w:r>
          </w:p>
        </w:tc>
        <w:tc>
          <w:tcPr>
            <w:tcW w:w="1984" w:type="dxa"/>
            <w:gridSpan w:val="6"/>
            <w:vAlign w:val="center"/>
            <w:hideMark/>
          </w:tcPr>
          <w:p w14:paraId="416DB06D" w14:textId="77777777" w:rsidR="00F35C13" w:rsidRPr="00565830" w:rsidRDefault="00F35C13" w:rsidP="00CC56D2">
            <w:pPr>
              <w:rPr>
                <w:rFonts w:ascii="Arial" w:hAnsi="Arial" w:cs="Arial"/>
                <w:sz w:val="14"/>
                <w:szCs w:val="14"/>
              </w:rPr>
            </w:pPr>
            <w:r w:rsidRPr="00565830">
              <w:rPr>
                <w:rFonts w:ascii="Arial" w:hAnsi="Arial" w:cs="Arial"/>
                <w:sz w:val="14"/>
                <w:szCs w:val="14"/>
              </w:rPr>
              <w:t>A Ofrecer a los trabajadores de la salud y a la población interesada, información al día sobre la presencia de casos nuevos de enfermedades sujetas a vigilancia epidemiológica, a través de boletines semanales</w:t>
            </w:r>
          </w:p>
        </w:tc>
        <w:tc>
          <w:tcPr>
            <w:tcW w:w="1985" w:type="dxa"/>
            <w:gridSpan w:val="7"/>
            <w:vAlign w:val="center"/>
            <w:hideMark/>
          </w:tcPr>
          <w:p w14:paraId="281620A3" w14:textId="77777777" w:rsidR="00F35C13" w:rsidRPr="00565830" w:rsidRDefault="00F35C13" w:rsidP="00CC56D2">
            <w:pPr>
              <w:rPr>
                <w:rFonts w:ascii="Arial" w:hAnsi="Arial" w:cs="Arial"/>
                <w:sz w:val="14"/>
                <w:szCs w:val="14"/>
              </w:rPr>
            </w:pPr>
            <w:r w:rsidRPr="00565830">
              <w:rPr>
                <w:rFonts w:ascii="Arial" w:hAnsi="Arial" w:cs="Arial"/>
                <w:sz w:val="14"/>
                <w:szCs w:val="14"/>
              </w:rPr>
              <w:t xml:space="preserve"> Porcentaje de Boletines Semanales de Información Epidemiológica publicados en la página de la Dirección General de Epidemiología</w:t>
            </w:r>
            <w:r w:rsidRPr="00565830">
              <w:rPr>
                <w:rFonts w:ascii="Arial" w:hAnsi="Arial" w:cs="Arial"/>
                <w:i/>
                <w:iCs/>
                <w:sz w:val="14"/>
                <w:szCs w:val="14"/>
              </w:rPr>
              <w:br w:type="page"/>
            </w:r>
          </w:p>
        </w:tc>
        <w:tc>
          <w:tcPr>
            <w:tcW w:w="1985" w:type="dxa"/>
            <w:gridSpan w:val="5"/>
            <w:vAlign w:val="center"/>
            <w:hideMark/>
          </w:tcPr>
          <w:p w14:paraId="73EEDB4A" w14:textId="77777777" w:rsidR="00F35C13" w:rsidRPr="00565830" w:rsidRDefault="00F35C13" w:rsidP="00CC56D2">
            <w:pPr>
              <w:rPr>
                <w:rFonts w:ascii="Arial" w:hAnsi="Arial" w:cs="Arial"/>
                <w:sz w:val="14"/>
                <w:szCs w:val="14"/>
              </w:rPr>
            </w:pPr>
            <w:r w:rsidRPr="00565830">
              <w:rPr>
                <w:rFonts w:ascii="Arial" w:hAnsi="Arial" w:cs="Arial"/>
                <w:sz w:val="14"/>
                <w:szCs w:val="14"/>
              </w:rPr>
              <w:t xml:space="preserve">(Número de boletines </w:t>
            </w:r>
            <w:proofErr w:type="gramStart"/>
            <w:r w:rsidRPr="00565830">
              <w:rPr>
                <w:rFonts w:ascii="Arial" w:hAnsi="Arial" w:cs="Arial"/>
                <w:sz w:val="14"/>
                <w:szCs w:val="14"/>
              </w:rPr>
              <w:t>publicados)/</w:t>
            </w:r>
            <w:proofErr w:type="gramEnd"/>
            <w:r w:rsidRPr="00565830">
              <w:rPr>
                <w:rFonts w:ascii="Arial" w:hAnsi="Arial" w:cs="Arial"/>
                <w:sz w:val="14"/>
                <w:szCs w:val="14"/>
              </w:rPr>
              <w:t>(Número de boletines programados) X 100</w:t>
            </w:r>
          </w:p>
        </w:tc>
        <w:tc>
          <w:tcPr>
            <w:tcW w:w="850" w:type="dxa"/>
            <w:gridSpan w:val="3"/>
            <w:vAlign w:val="center"/>
            <w:hideMark/>
          </w:tcPr>
          <w:p w14:paraId="2D5F8A10" w14:textId="77777777" w:rsidR="00F35C13" w:rsidRPr="00565830" w:rsidRDefault="00F35C13" w:rsidP="00CC56D2">
            <w:pPr>
              <w:rPr>
                <w:rFonts w:ascii="Arial" w:hAnsi="Arial" w:cs="Arial"/>
                <w:sz w:val="12"/>
                <w:szCs w:val="12"/>
              </w:rPr>
            </w:pPr>
            <w:r w:rsidRPr="00565830">
              <w:rPr>
                <w:rFonts w:ascii="Arial" w:hAnsi="Arial" w:cs="Arial"/>
                <w:sz w:val="12"/>
                <w:szCs w:val="12"/>
              </w:rPr>
              <w:t>Documento</w:t>
            </w:r>
          </w:p>
        </w:tc>
        <w:tc>
          <w:tcPr>
            <w:tcW w:w="1134" w:type="dxa"/>
            <w:gridSpan w:val="3"/>
            <w:vAlign w:val="center"/>
            <w:hideMark/>
          </w:tcPr>
          <w:p w14:paraId="45405C1B" w14:textId="77777777" w:rsidR="00F35C13" w:rsidRPr="00565830" w:rsidRDefault="00F35C13" w:rsidP="00CC56D2">
            <w:pPr>
              <w:rPr>
                <w:rFonts w:ascii="Arial" w:hAnsi="Arial" w:cs="Arial"/>
                <w:sz w:val="14"/>
                <w:szCs w:val="14"/>
              </w:rPr>
            </w:pPr>
            <w:r w:rsidRPr="00565830">
              <w:rPr>
                <w:rFonts w:ascii="Arial" w:hAnsi="Arial" w:cs="Arial"/>
                <w:sz w:val="14"/>
                <w:szCs w:val="14"/>
              </w:rPr>
              <w:t>Estratégico-Eficiencia-Trimestral</w:t>
            </w:r>
          </w:p>
        </w:tc>
        <w:tc>
          <w:tcPr>
            <w:tcW w:w="993" w:type="dxa"/>
            <w:gridSpan w:val="3"/>
            <w:vAlign w:val="center"/>
            <w:hideMark/>
          </w:tcPr>
          <w:p w14:paraId="511A5EE9" w14:textId="77777777" w:rsidR="00F35C13" w:rsidRPr="00565830" w:rsidRDefault="00F35C13" w:rsidP="00CC56D2">
            <w:pPr>
              <w:jc w:val="center"/>
              <w:rPr>
                <w:rFonts w:ascii="Arial" w:hAnsi="Arial" w:cs="Arial"/>
                <w:sz w:val="14"/>
                <w:szCs w:val="14"/>
              </w:rPr>
            </w:pPr>
            <w:r w:rsidRPr="00565830">
              <w:rPr>
                <w:rFonts w:ascii="Arial" w:hAnsi="Arial" w:cs="Arial"/>
                <w:sz w:val="14"/>
                <w:szCs w:val="14"/>
              </w:rPr>
              <w:t>100.00</w:t>
            </w:r>
          </w:p>
        </w:tc>
        <w:tc>
          <w:tcPr>
            <w:tcW w:w="1134" w:type="dxa"/>
            <w:gridSpan w:val="3"/>
            <w:vAlign w:val="center"/>
            <w:hideMark/>
          </w:tcPr>
          <w:p w14:paraId="7BB7E815" w14:textId="77777777" w:rsidR="00F35C13" w:rsidRPr="00565830" w:rsidRDefault="00F35C13" w:rsidP="00CC56D2">
            <w:pPr>
              <w:jc w:val="center"/>
              <w:rPr>
                <w:rFonts w:ascii="Arial" w:hAnsi="Arial" w:cs="Arial"/>
                <w:sz w:val="14"/>
                <w:szCs w:val="14"/>
              </w:rPr>
            </w:pPr>
            <w:r w:rsidRPr="00565830">
              <w:rPr>
                <w:rFonts w:ascii="Arial" w:hAnsi="Arial" w:cs="Arial"/>
                <w:sz w:val="14"/>
                <w:szCs w:val="14"/>
              </w:rPr>
              <w:t>100.00</w:t>
            </w:r>
          </w:p>
        </w:tc>
        <w:tc>
          <w:tcPr>
            <w:tcW w:w="996" w:type="dxa"/>
            <w:gridSpan w:val="2"/>
            <w:vAlign w:val="center"/>
            <w:hideMark/>
          </w:tcPr>
          <w:p w14:paraId="594F6CDB" w14:textId="77777777" w:rsidR="00F35C13" w:rsidRPr="00565830" w:rsidRDefault="00F35C13" w:rsidP="00CC56D2">
            <w:pPr>
              <w:jc w:val="center"/>
              <w:rPr>
                <w:rFonts w:ascii="Arial" w:hAnsi="Arial" w:cs="Arial"/>
                <w:sz w:val="14"/>
                <w:szCs w:val="14"/>
              </w:rPr>
            </w:pPr>
            <w:r w:rsidRPr="00565830">
              <w:rPr>
                <w:rFonts w:ascii="Arial" w:hAnsi="Arial" w:cs="Arial"/>
                <w:sz w:val="14"/>
                <w:szCs w:val="14"/>
              </w:rPr>
              <w:t>100.00</w:t>
            </w:r>
          </w:p>
        </w:tc>
        <w:tc>
          <w:tcPr>
            <w:tcW w:w="1095" w:type="dxa"/>
            <w:vAlign w:val="center"/>
            <w:hideMark/>
          </w:tcPr>
          <w:p w14:paraId="570FF7E1" w14:textId="77777777" w:rsidR="00F35C13" w:rsidRPr="00565830" w:rsidRDefault="00F35C13" w:rsidP="00CC56D2">
            <w:pPr>
              <w:jc w:val="center"/>
              <w:rPr>
                <w:rFonts w:ascii="Arial" w:hAnsi="Arial" w:cs="Arial"/>
                <w:sz w:val="14"/>
                <w:szCs w:val="14"/>
              </w:rPr>
            </w:pPr>
            <w:r w:rsidRPr="00565830">
              <w:rPr>
                <w:rFonts w:ascii="Arial" w:hAnsi="Arial" w:cs="Arial"/>
                <w:sz w:val="14"/>
                <w:szCs w:val="14"/>
              </w:rPr>
              <w:t>100.0</w:t>
            </w:r>
          </w:p>
        </w:tc>
      </w:tr>
      <w:tr w:rsidR="00F35C13" w:rsidRPr="00565830" w14:paraId="691ED9C4" w14:textId="77777777" w:rsidTr="00CC56D2">
        <w:trPr>
          <w:trHeight w:val="1500"/>
        </w:trPr>
        <w:tc>
          <w:tcPr>
            <w:tcW w:w="1242" w:type="dxa"/>
            <w:gridSpan w:val="2"/>
            <w:vMerge/>
            <w:vAlign w:val="center"/>
            <w:hideMark/>
          </w:tcPr>
          <w:p w14:paraId="56C489E8" w14:textId="77777777" w:rsidR="00F35C13" w:rsidRPr="00565830" w:rsidRDefault="00F35C13" w:rsidP="00CC56D2">
            <w:pPr>
              <w:rPr>
                <w:rFonts w:ascii="Arial" w:hAnsi="Arial" w:cs="Arial"/>
                <w:b/>
                <w:bCs/>
                <w:sz w:val="14"/>
                <w:szCs w:val="14"/>
              </w:rPr>
            </w:pPr>
          </w:p>
        </w:tc>
        <w:tc>
          <w:tcPr>
            <w:tcW w:w="1984" w:type="dxa"/>
            <w:gridSpan w:val="6"/>
            <w:vAlign w:val="center"/>
            <w:hideMark/>
          </w:tcPr>
          <w:p w14:paraId="4CEB5D33" w14:textId="77777777" w:rsidR="00F35C13" w:rsidRPr="00565830" w:rsidRDefault="00F35C13" w:rsidP="00CC56D2">
            <w:pPr>
              <w:rPr>
                <w:rFonts w:ascii="Arial" w:hAnsi="Arial" w:cs="Arial"/>
                <w:sz w:val="14"/>
                <w:szCs w:val="14"/>
              </w:rPr>
            </w:pPr>
            <w:r w:rsidRPr="00565830">
              <w:rPr>
                <w:rFonts w:ascii="Arial" w:hAnsi="Arial" w:cs="Arial"/>
                <w:sz w:val="14"/>
                <w:szCs w:val="14"/>
              </w:rPr>
              <w:t>B Evaluar el desempeño técnico de la Red Nacional de Laboratorios de Salud Pública a través Paneles de Evaluación Externa del Desempeño (PEED) de los Diagnósticos del Marco Analítico Básico enviados</w:t>
            </w:r>
          </w:p>
        </w:tc>
        <w:tc>
          <w:tcPr>
            <w:tcW w:w="1985" w:type="dxa"/>
            <w:gridSpan w:val="7"/>
            <w:vAlign w:val="center"/>
            <w:hideMark/>
          </w:tcPr>
          <w:p w14:paraId="7C635826" w14:textId="77777777" w:rsidR="00F35C13" w:rsidRPr="00565830" w:rsidRDefault="00F35C13" w:rsidP="00CC56D2">
            <w:pPr>
              <w:rPr>
                <w:rFonts w:ascii="Arial" w:hAnsi="Arial" w:cs="Arial"/>
                <w:sz w:val="14"/>
                <w:szCs w:val="14"/>
              </w:rPr>
            </w:pPr>
            <w:r w:rsidRPr="00565830">
              <w:rPr>
                <w:rFonts w:ascii="Arial" w:hAnsi="Arial" w:cs="Arial"/>
                <w:sz w:val="14"/>
                <w:szCs w:val="14"/>
              </w:rPr>
              <w:t>Evaluación Externa del Desempeño de la Red Nacional de Laboratorios de Salud Pública</w:t>
            </w:r>
          </w:p>
        </w:tc>
        <w:tc>
          <w:tcPr>
            <w:tcW w:w="1985" w:type="dxa"/>
            <w:gridSpan w:val="5"/>
            <w:vAlign w:val="center"/>
            <w:hideMark/>
          </w:tcPr>
          <w:p w14:paraId="0A3995DB" w14:textId="77777777" w:rsidR="00F35C13" w:rsidRPr="00565830" w:rsidRDefault="00F35C13" w:rsidP="00CC56D2">
            <w:pPr>
              <w:rPr>
                <w:rFonts w:ascii="Arial" w:hAnsi="Arial" w:cs="Arial"/>
                <w:sz w:val="14"/>
                <w:szCs w:val="14"/>
              </w:rPr>
            </w:pPr>
            <w:r w:rsidRPr="00565830">
              <w:rPr>
                <w:rFonts w:ascii="Arial" w:hAnsi="Arial" w:cs="Arial"/>
                <w:sz w:val="14"/>
                <w:szCs w:val="14"/>
              </w:rPr>
              <w:t xml:space="preserve">(Promedio obtenido de los resultados en los PEED por los LESP en el </w:t>
            </w:r>
            <w:proofErr w:type="gramStart"/>
            <w:r w:rsidRPr="00565830">
              <w:rPr>
                <w:rFonts w:ascii="Arial" w:hAnsi="Arial" w:cs="Arial"/>
                <w:sz w:val="14"/>
                <w:szCs w:val="14"/>
              </w:rPr>
              <w:t>trimestre )</w:t>
            </w:r>
            <w:proofErr w:type="gramEnd"/>
            <w:r w:rsidRPr="00565830">
              <w:rPr>
                <w:rFonts w:ascii="Arial" w:hAnsi="Arial" w:cs="Arial"/>
                <w:sz w:val="14"/>
                <w:szCs w:val="14"/>
              </w:rPr>
              <w:t>/(Promedio esperado de los resultados en los PEED por los LESP en el trimestre) X 100</w:t>
            </w:r>
          </w:p>
        </w:tc>
        <w:tc>
          <w:tcPr>
            <w:tcW w:w="850" w:type="dxa"/>
            <w:gridSpan w:val="3"/>
            <w:vAlign w:val="center"/>
            <w:hideMark/>
          </w:tcPr>
          <w:p w14:paraId="5E36A356" w14:textId="77777777" w:rsidR="00F35C13" w:rsidRPr="00565830" w:rsidRDefault="00F35C13" w:rsidP="00CC56D2">
            <w:pPr>
              <w:jc w:val="center"/>
              <w:rPr>
                <w:rFonts w:ascii="Arial" w:hAnsi="Arial" w:cs="Arial"/>
                <w:sz w:val="14"/>
                <w:szCs w:val="14"/>
              </w:rPr>
            </w:pPr>
            <w:r w:rsidRPr="00565830">
              <w:rPr>
                <w:rFonts w:ascii="Arial" w:hAnsi="Arial" w:cs="Arial"/>
                <w:sz w:val="14"/>
                <w:szCs w:val="14"/>
              </w:rPr>
              <w:t>%</w:t>
            </w:r>
          </w:p>
        </w:tc>
        <w:tc>
          <w:tcPr>
            <w:tcW w:w="1134" w:type="dxa"/>
            <w:gridSpan w:val="3"/>
            <w:vAlign w:val="center"/>
            <w:hideMark/>
          </w:tcPr>
          <w:p w14:paraId="7124FD98" w14:textId="77777777" w:rsidR="00F35C13" w:rsidRPr="00565830" w:rsidRDefault="00F35C13" w:rsidP="00CC56D2">
            <w:pPr>
              <w:rPr>
                <w:rFonts w:ascii="Arial" w:hAnsi="Arial" w:cs="Arial"/>
                <w:sz w:val="14"/>
                <w:szCs w:val="14"/>
              </w:rPr>
            </w:pPr>
            <w:r w:rsidRPr="00565830">
              <w:rPr>
                <w:rFonts w:ascii="Arial" w:hAnsi="Arial" w:cs="Arial"/>
                <w:sz w:val="14"/>
                <w:szCs w:val="14"/>
              </w:rPr>
              <w:t>Gestión-Eficacia-Trimestral</w:t>
            </w:r>
          </w:p>
        </w:tc>
        <w:tc>
          <w:tcPr>
            <w:tcW w:w="993" w:type="dxa"/>
            <w:gridSpan w:val="3"/>
            <w:vAlign w:val="center"/>
            <w:hideMark/>
          </w:tcPr>
          <w:p w14:paraId="3321AAE1" w14:textId="77777777" w:rsidR="00F35C13" w:rsidRPr="00565830" w:rsidRDefault="00F35C13" w:rsidP="00CC56D2">
            <w:pPr>
              <w:jc w:val="center"/>
              <w:rPr>
                <w:rFonts w:ascii="Arial" w:hAnsi="Arial" w:cs="Arial"/>
                <w:sz w:val="14"/>
                <w:szCs w:val="14"/>
              </w:rPr>
            </w:pPr>
            <w:r w:rsidRPr="00565830">
              <w:rPr>
                <w:rFonts w:ascii="Arial" w:hAnsi="Arial" w:cs="Arial"/>
                <w:sz w:val="14"/>
                <w:szCs w:val="14"/>
              </w:rPr>
              <w:t>95.00</w:t>
            </w:r>
          </w:p>
        </w:tc>
        <w:tc>
          <w:tcPr>
            <w:tcW w:w="1134" w:type="dxa"/>
            <w:gridSpan w:val="3"/>
            <w:vAlign w:val="center"/>
            <w:hideMark/>
          </w:tcPr>
          <w:p w14:paraId="2DA53A8D" w14:textId="77777777" w:rsidR="00F35C13" w:rsidRPr="00565830" w:rsidRDefault="00F35C13" w:rsidP="00CC56D2">
            <w:pPr>
              <w:jc w:val="center"/>
              <w:rPr>
                <w:rFonts w:ascii="Arial" w:hAnsi="Arial" w:cs="Arial"/>
                <w:sz w:val="14"/>
                <w:szCs w:val="14"/>
              </w:rPr>
            </w:pPr>
            <w:r w:rsidRPr="00565830">
              <w:rPr>
                <w:rFonts w:ascii="Arial" w:hAnsi="Arial" w:cs="Arial"/>
                <w:sz w:val="14"/>
                <w:szCs w:val="14"/>
              </w:rPr>
              <w:t>95.00</w:t>
            </w:r>
          </w:p>
        </w:tc>
        <w:tc>
          <w:tcPr>
            <w:tcW w:w="996" w:type="dxa"/>
            <w:gridSpan w:val="2"/>
            <w:vAlign w:val="center"/>
            <w:hideMark/>
          </w:tcPr>
          <w:p w14:paraId="36C411A2" w14:textId="77777777" w:rsidR="00F35C13" w:rsidRPr="00565830" w:rsidRDefault="00F35C13" w:rsidP="00CC56D2">
            <w:pPr>
              <w:jc w:val="center"/>
              <w:rPr>
                <w:rFonts w:ascii="Arial" w:hAnsi="Arial" w:cs="Arial"/>
                <w:sz w:val="14"/>
                <w:szCs w:val="14"/>
              </w:rPr>
            </w:pPr>
            <w:r w:rsidRPr="00565830">
              <w:rPr>
                <w:rFonts w:ascii="Arial" w:hAnsi="Arial" w:cs="Arial"/>
                <w:sz w:val="14"/>
                <w:szCs w:val="14"/>
              </w:rPr>
              <w:t>94.59</w:t>
            </w:r>
          </w:p>
        </w:tc>
        <w:tc>
          <w:tcPr>
            <w:tcW w:w="1095" w:type="dxa"/>
            <w:vAlign w:val="center"/>
            <w:hideMark/>
          </w:tcPr>
          <w:p w14:paraId="1AE54899" w14:textId="77777777" w:rsidR="00F35C13" w:rsidRPr="00565830" w:rsidRDefault="00F35C13" w:rsidP="00CC56D2">
            <w:pPr>
              <w:jc w:val="center"/>
              <w:rPr>
                <w:rFonts w:ascii="Arial" w:hAnsi="Arial" w:cs="Arial"/>
                <w:sz w:val="14"/>
                <w:szCs w:val="14"/>
              </w:rPr>
            </w:pPr>
            <w:r w:rsidRPr="00565830">
              <w:rPr>
                <w:rFonts w:ascii="Arial" w:hAnsi="Arial" w:cs="Arial"/>
                <w:sz w:val="14"/>
                <w:szCs w:val="14"/>
              </w:rPr>
              <w:t>99.57</w:t>
            </w:r>
          </w:p>
        </w:tc>
      </w:tr>
      <w:tr w:rsidR="00F35C13" w:rsidRPr="00565830" w14:paraId="6BE07B55" w14:textId="77777777" w:rsidTr="00CC56D2">
        <w:trPr>
          <w:trHeight w:val="2520"/>
        </w:trPr>
        <w:tc>
          <w:tcPr>
            <w:tcW w:w="1242" w:type="dxa"/>
            <w:gridSpan w:val="2"/>
            <w:vAlign w:val="center"/>
            <w:hideMark/>
          </w:tcPr>
          <w:p w14:paraId="5F951948" w14:textId="77777777" w:rsidR="00F35C13" w:rsidRPr="00565830" w:rsidRDefault="00F35C13" w:rsidP="00CC56D2">
            <w:pPr>
              <w:rPr>
                <w:rFonts w:ascii="Arial" w:hAnsi="Arial" w:cs="Arial"/>
                <w:b/>
                <w:bCs/>
                <w:sz w:val="14"/>
                <w:szCs w:val="14"/>
              </w:rPr>
            </w:pPr>
            <w:r w:rsidRPr="00565830">
              <w:rPr>
                <w:rFonts w:ascii="Arial" w:hAnsi="Arial" w:cs="Arial"/>
                <w:b/>
                <w:bCs/>
                <w:sz w:val="14"/>
                <w:szCs w:val="14"/>
              </w:rPr>
              <w:t> </w:t>
            </w:r>
          </w:p>
        </w:tc>
        <w:tc>
          <w:tcPr>
            <w:tcW w:w="1984" w:type="dxa"/>
            <w:gridSpan w:val="6"/>
            <w:vAlign w:val="center"/>
            <w:hideMark/>
          </w:tcPr>
          <w:p w14:paraId="75F7BA44" w14:textId="77777777" w:rsidR="00F35C13" w:rsidRPr="00565830" w:rsidRDefault="00F35C13" w:rsidP="00CC56D2">
            <w:pPr>
              <w:rPr>
                <w:rFonts w:ascii="Arial" w:hAnsi="Arial" w:cs="Arial"/>
                <w:sz w:val="14"/>
                <w:szCs w:val="14"/>
              </w:rPr>
            </w:pPr>
            <w:r w:rsidRPr="00565830">
              <w:rPr>
                <w:rFonts w:ascii="Arial" w:hAnsi="Arial" w:cs="Arial"/>
                <w:sz w:val="14"/>
                <w:szCs w:val="14"/>
              </w:rPr>
              <w:t xml:space="preserve">C. Verificar en campo la operación y observancia de la normatividad oficial </w:t>
            </w:r>
            <w:proofErr w:type="gramStart"/>
            <w:r w:rsidRPr="00565830">
              <w:rPr>
                <w:rFonts w:ascii="Arial" w:hAnsi="Arial" w:cs="Arial"/>
                <w:sz w:val="14"/>
                <w:szCs w:val="14"/>
              </w:rPr>
              <w:t>vigente</w:t>
            </w:r>
            <w:proofErr w:type="gramEnd"/>
            <w:r w:rsidRPr="00565830">
              <w:rPr>
                <w:rFonts w:ascii="Arial" w:hAnsi="Arial" w:cs="Arial"/>
                <w:sz w:val="14"/>
                <w:szCs w:val="14"/>
              </w:rPr>
              <w:t xml:space="preserve"> así como los lineamientos establecidos para el control y seguimiento de los padecimientos objeto de los programas de acción bajo la responsabilidad del Centro Nacional de Programas Preventivos y Control de Enfermedades (CENAPRECE)</w:t>
            </w:r>
          </w:p>
        </w:tc>
        <w:tc>
          <w:tcPr>
            <w:tcW w:w="1985" w:type="dxa"/>
            <w:gridSpan w:val="7"/>
            <w:vAlign w:val="center"/>
            <w:hideMark/>
          </w:tcPr>
          <w:p w14:paraId="3BB1BE1C" w14:textId="77777777" w:rsidR="00F35C13" w:rsidRPr="00565830" w:rsidRDefault="00F35C13" w:rsidP="00CC56D2">
            <w:pPr>
              <w:rPr>
                <w:rFonts w:ascii="Arial" w:hAnsi="Arial" w:cs="Arial"/>
                <w:sz w:val="14"/>
                <w:szCs w:val="14"/>
              </w:rPr>
            </w:pPr>
            <w:r w:rsidRPr="00565830">
              <w:rPr>
                <w:rFonts w:ascii="Arial" w:hAnsi="Arial" w:cs="Arial"/>
                <w:sz w:val="14"/>
                <w:szCs w:val="14"/>
              </w:rPr>
              <w:t>Porcentaje de cumplimiento de las visitas de supervisión programadas a las entidades federativas</w:t>
            </w:r>
          </w:p>
        </w:tc>
        <w:tc>
          <w:tcPr>
            <w:tcW w:w="1985" w:type="dxa"/>
            <w:gridSpan w:val="5"/>
            <w:vAlign w:val="center"/>
            <w:hideMark/>
          </w:tcPr>
          <w:p w14:paraId="2CD7184E" w14:textId="77777777" w:rsidR="00F35C13" w:rsidRPr="00565830" w:rsidRDefault="00F35C13" w:rsidP="00CC56D2">
            <w:pPr>
              <w:rPr>
                <w:rFonts w:ascii="Arial" w:hAnsi="Arial" w:cs="Arial"/>
                <w:sz w:val="14"/>
                <w:szCs w:val="14"/>
              </w:rPr>
            </w:pPr>
            <w:r w:rsidRPr="00565830">
              <w:rPr>
                <w:rFonts w:ascii="Arial" w:hAnsi="Arial" w:cs="Arial"/>
                <w:sz w:val="14"/>
                <w:szCs w:val="14"/>
              </w:rPr>
              <w:t xml:space="preserve">(Número de visitas de supervisión </w:t>
            </w:r>
            <w:proofErr w:type="gramStart"/>
            <w:r w:rsidRPr="00565830">
              <w:rPr>
                <w:rFonts w:ascii="Arial" w:hAnsi="Arial" w:cs="Arial"/>
                <w:sz w:val="14"/>
                <w:szCs w:val="14"/>
              </w:rPr>
              <w:t>realizadas )</w:t>
            </w:r>
            <w:proofErr w:type="gramEnd"/>
            <w:r w:rsidRPr="00565830">
              <w:rPr>
                <w:rFonts w:ascii="Arial" w:hAnsi="Arial" w:cs="Arial"/>
                <w:sz w:val="14"/>
                <w:szCs w:val="14"/>
              </w:rPr>
              <w:t>/(Número de visitas de supervisión programadas) X 100</w:t>
            </w:r>
          </w:p>
        </w:tc>
        <w:tc>
          <w:tcPr>
            <w:tcW w:w="850" w:type="dxa"/>
            <w:gridSpan w:val="3"/>
            <w:vAlign w:val="center"/>
            <w:hideMark/>
          </w:tcPr>
          <w:p w14:paraId="52CC43E6" w14:textId="77777777" w:rsidR="00F35C13" w:rsidRPr="00565830" w:rsidRDefault="00F35C13" w:rsidP="00CC56D2">
            <w:pPr>
              <w:jc w:val="center"/>
              <w:rPr>
                <w:rFonts w:ascii="Arial" w:hAnsi="Arial" w:cs="Arial"/>
                <w:sz w:val="14"/>
                <w:szCs w:val="14"/>
              </w:rPr>
            </w:pPr>
            <w:r w:rsidRPr="00565830">
              <w:rPr>
                <w:rFonts w:ascii="Arial" w:hAnsi="Arial" w:cs="Arial"/>
                <w:sz w:val="14"/>
                <w:szCs w:val="14"/>
              </w:rPr>
              <w:t>%</w:t>
            </w:r>
          </w:p>
        </w:tc>
        <w:tc>
          <w:tcPr>
            <w:tcW w:w="1134" w:type="dxa"/>
            <w:gridSpan w:val="3"/>
            <w:vAlign w:val="center"/>
            <w:hideMark/>
          </w:tcPr>
          <w:p w14:paraId="0155A70D" w14:textId="77777777" w:rsidR="00F35C13" w:rsidRPr="00565830" w:rsidRDefault="00F35C13" w:rsidP="00CC56D2">
            <w:pPr>
              <w:rPr>
                <w:rFonts w:ascii="Arial" w:hAnsi="Arial" w:cs="Arial"/>
                <w:sz w:val="14"/>
                <w:szCs w:val="14"/>
              </w:rPr>
            </w:pPr>
            <w:r w:rsidRPr="00565830">
              <w:rPr>
                <w:rFonts w:ascii="Arial" w:hAnsi="Arial" w:cs="Arial"/>
                <w:sz w:val="14"/>
                <w:szCs w:val="14"/>
              </w:rPr>
              <w:t>Estratégico-Eficacia-Trimestral</w:t>
            </w:r>
          </w:p>
        </w:tc>
        <w:tc>
          <w:tcPr>
            <w:tcW w:w="993" w:type="dxa"/>
            <w:gridSpan w:val="3"/>
            <w:vAlign w:val="center"/>
            <w:hideMark/>
          </w:tcPr>
          <w:p w14:paraId="4DF63EB1" w14:textId="77777777" w:rsidR="00F35C13" w:rsidRPr="00565830" w:rsidRDefault="00F35C13" w:rsidP="00CC56D2">
            <w:pPr>
              <w:jc w:val="center"/>
              <w:rPr>
                <w:rFonts w:ascii="Arial" w:hAnsi="Arial" w:cs="Arial"/>
                <w:sz w:val="14"/>
                <w:szCs w:val="14"/>
              </w:rPr>
            </w:pPr>
            <w:r w:rsidRPr="00565830">
              <w:rPr>
                <w:rFonts w:ascii="Arial" w:hAnsi="Arial" w:cs="Arial"/>
                <w:sz w:val="14"/>
                <w:szCs w:val="14"/>
              </w:rPr>
              <w:t>89.80</w:t>
            </w:r>
          </w:p>
        </w:tc>
        <w:tc>
          <w:tcPr>
            <w:tcW w:w="1134" w:type="dxa"/>
            <w:gridSpan w:val="3"/>
            <w:vAlign w:val="center"/>
            <w:hideMark/>
          </w:tcPr>
          <w:p w14:paraId="7ACFE324" w14:textId="77777777" w:rsidR="00F35C13" w:rsidRPr="00565830" w:rsidRDefault="00F35C13" w:rsidP="00CC56D2">
            <w:pPr>
              <w:jc w:val="center"/>
              <w:rPr>
                <w:rFonts w:ascii="Arial" w:hAnsi="Arial" w:cs="Arial"/>
                <w:sz w:val="14"/>
                <w:szCs w:val="14"/>
              </w:rPr>
            </w:pPr>
            <w:r w:rsidRPr="00565830">
              <w:rPr>
                <w:rFonts w:ascii="Arial" w:hAnsi="Arial" w:cs="Arial"/>
                <w:sz w:val="14"/>
                <w:szCs w:val="14"/>
              </w:rPr>
              <w:t>12.24</w:t>
            </w:r>
          </w:p>
        </w:tc>
        <w:tc>
          <w:tcPr>
            <w:tcW w:w="996" w:type="dxa"/>
            <w:gridSpan w:val="2"/>
            <w:vAlign w:val="center"/>
            <w:hideMark/>
          </w:tcPr>
          <w:p w14:paraId="1449D564" w14:textId="77777777" w:rsidR="00F35C13" w:rsidRPr="00565830" w:rsidRDefault="00F35C13" w:rsidP="00CC56D2">
            <w:pPr>
              <w:jc w:val="center"/>
              <w:rPr>
                <w:rFonts w:ascii="Arial" w:hAnsi="Arial" w:cs="Arial"/>
                <w:sz w:val="14"/>
                <w:szCs w:val="14"/>
              </w:rPr>
            </w:pPr>
            <w:r w:rsidRPr="00565830">
              <w:rPr>
                <w:rFonts w:ascii="Arial" w:hAnsi="Arial" w:cs="Arial"/>
                <w:sz w:val="14"/>
                <w:szCs w:val="14"/>
              </w:rPr>
              <w:t>100.00</w:t>
            </w:r>
          </w:p>
        </w:tc>
        <w:tc>
          <w:tcPr>
            <w:tcW w:w="1095" w:type="dxa"/>
            <w:vAlign w:val="center"/>
            <w:hideMark/>
          </w:tcPr>
          <w:p w14:paraId="6F8C13CC" w14:textId="77777777" w:rsidR="00F35C13" w:rsidRPr="00565830" w:rsidRDefault="00F35C13" w:rsidP="00CC56D2">
            <w:pPr>
              <w:jc w:val="center"/>
              <w:rPr>
                <w:rFonts w:ascii="Arial" w:hAnsi="Arial" w:cs="Arial"/>
                <w:sz w:val="14"/>
                <w:szCs w:val="14"/>
              </w:rPr>
            </w:pPr>
            <w:r w:rsidRPr="00565830">
              <w:rPr>
                <w:rFonts w:ascii="Arial" w:hAnsi="Arial" w:cs="Arial"/>
                <w:sz w:val="14"/>
                <w:szCs w:val="14"/>
              </w:rPr>
              <w:t>100.0</w:t>
            </w:r>
          </w:p>
        </w:tc>
      </w:tr>
      <w:tr w:rsidR="00F35C13" w:rsidRPr="00565830" w14:paraId="5298F90D" w14:textId="77777777" w:rsidTr="00CC56D2">
        <w:trPr>
          <w:trHeight w:val="1292"/>
        </w:trPr>
        <w:tc>
          <w:tcPr>
            <w:tcW w:w="1242" w:type="dxa"/>
            <w:gridSpan w:val="2"/>
            <w:vMerge w:val="restart"/>
            <w:vAlign w:val="center"/>
            <w:hideMark/>
          </w:tcPr>
          <w:p w14:paraId="1DE86065" w14:textId="77777777" w:rsidR="00F35C13" w:rsidRPr="00565830" w:rsidRDefault="00F35C13" w:rsidP="00CC56D2">
            <w:pPr>
              <w:rPr>
                <w:rFonts w:ascii="Arial" w:hAnsi="Arial" w:cs="Arial"/>
                <w:b/>
                <w:bCs/>
                <w:sz w:val="14"/>
                <w:szCs w:val="14"/>
              </w:rPr>
            </w:pPr>
            <w:r w:rsidRPr="00565830">
              <w:rPr>
                <w:rFonts w:ascii="Arial" w:hAnsi="Arial" w:cs="Arial"/>
                <w:b/>
                <w:bCs/>
                <w:sz w:val="14"/>
                <w:szCs w:val="14"/>
              </w:rPr>
              <w:lastRenderedPageBreak/>
              <w:t>Actividad</w:t>
            </w:r>
          </w:p>
          <w:p w14:paraId="76C6C78C" w14:textId="77777777" w:rsidR="00F35C13" w:rsidRPr="00565830" w:rsidRDefault="00F35C13" w:rsidP="00CC56D2">
            <w:pPr>
              <w:rPr>
                <w:rFonts w:ascii="Arial" w:hAnsi="Arial" w:cs="Arial"/>
                <w:b/>
                <w:bCs/>
                <w:sz w:val="14"/>
                <w:szCs w:val="14"/>
              </w:rPr>
            </w:pPr>
            <w:r w:rsidRPr="00565830">
              <w:rPr>
                <w:rFonts w:ascii="Arial" w:hAnsi="Arial" w:cs="Arial"/>
                <w:b/>
                <w:bCs/>
                <w:sz w:val="14"/>
                <w:szCs w:val="14"/>
              </w:rPr>
              <w:t> </w:t>
            </w:r>
          </w:p>
          <w:p w14:paraId="42E2434A" w14:textId="77777777" w:rsidR="00F35C13" w:rsidRPr="00565830" w:rsidRDefault="00F35C13" w:rsidP="00CC56D2">
            <w:pPr>
              <w:rPr>
                <w:rFonts w:ascii="Arial" w:hAnsi="Arial" w:cs="Arial"/>
                <w:b/>
                <w:bCs/>
                <w:sz w:val="14"/>
                <w:szCs w:val="14"/>
              </w:rPr>
            </w:pPr>
            <w:r w:rsidRPr="00565830">
              <w:rPr>
                <w:rFonts w:ascii="Arial" w:hAnsi="Arial" w:cs="Arial"/>
                <w:b/>
                <w:bCs/>
                <w:sz w:val="14"/>
                <w:szCs w:val="14"/>
              </w:rPr>
              <w:t> </w:t>
            </w:r>
          </w:p>
        </w:tc>
        <w:tc>
          <w:tcPr>
            <w:tcW w:w="1984" w:type="dxa"/>
            <w:gridSpan w:val="6"/>
            <w:vAlign w:val="center"/>
            <w:hideMark/>
          </w:tcPr>
          <w:p w14:paraId="7D3C4A6A" w14:textId="77777777" w:rsidR="00F35C13" w:rsidRPr="00565830" w:rsidRDefault="00F35C13" w:rsidP="00CC56D2">
            <w:pPr>
              <w:rPr>
                <w:rFonts w:ascii="Arial" w:hAnsi="Arial" w:cs="Arial"/>
                <w:sz w:val="14"/>
                <w:szCs w:val="14"/>
              </w:rPr>
            </w:pPr>
            <w:r w:rsidRPr="00565830">
              <w:rPr>
                <w:rFonts w:ascii="Arial" w:hAnsi="Arial" w:cs="Arial"/>
                <w:sz w:val="14"/>
                <w:szCs w:val="14"/>
              </w:rPr>
              <w:t>A 1 Mantener la actualización continua del personal encargado del Sistema Nacional de Vigilancia Epidemiológica (SINAVE) en el país.</w:t>
            </w:r>
          </w:p>
        </w:tc>
        <w:tc>
          <w:tcPr>
            <w:tcW w:w="1985" w:type="dxa"/>
            <w:gridSpan w:val="7"/>
            <w:vAlign w:val="center"/>
            <w:hideMark/>
          </w:tcPr>
          <w:p w14:paraId="0CFFD13A" w14:textId="77777777" w:rsidR="00F35C13" w:rsidRPr="00565830" w:rsidRDefault="00F35C13" w:rsidP="00CC56D2">
            <w:pPr>
              <w:rPr>
                <w:rFonts w:ascii="Arial" w:hAnsi="Arial" w:cs="Arial"/>
                <w:sz w:val="14"/>
                <w:szCs w:val="14"/>
              </w:rPr>
            </w:pPr>
            <w:r w:rsidRPr="00565830">
              <w:rPr>
                <w:rFonts w:ascii="Arial" w:hAnsi="Arial" w:cs="Arial"/>
                <w:sz w:val="14"/>
                <w:szCs w:val="14"/>
              </w:rPr>
              <w:t xml:space="preserve">Porcentaje de eventos de capacitación presenciales y a distancia del personal del Sistema Nacional de Vigilancia Epidemiológica (SINAVE) </w:t>
            </w:r>
          </w:p>
        </w:tc>
        <w:tc>
          <w:tcPr>
            <w:tcW w:w="1985" w:type="dxa"/>
            <w:gridSpan w:val="5"/>
            <w:vAlign w:val="center"/>
            <w:hideMark/>
          </w:tcPr>
          <w:p w14:paraId="4D0A5657" w14:textId="77777777" w:rsidR="00F35C13" w:rsidRPr="00565830" w:rsidRDefault="00F35C13" w:rsidP="00CC56D2">
            <w:pPr>
              <w:rPr>
                <w:rFonts w:ascii="Arial" w:hAnsi="Arial" w:cs="Arial"/>
                <w:sz w:val="14"/>
                <w:szCs w:val="14"/>
              </w:rPr>
            </w:pPr>
            <w:r w:rsidRPr="00565830">
              <w:rPr>
                <w:rFonts w:ascii="Arial" w:hAnsi="Arial" w:cs="Arial"/>
                <w:sz w:val="14"/>
                <w:szCs w:val="14"/>
              </w:rPr>
              <w:t>Número de eventos de capacitación presencial y a distancia realizados/ Numero de evento de capacitación presencial y a distancia Programados x 100</w:t>
            </w:r>
          </w:p>
        </w:tc>
        <w:tc>
          <w:tcPr>
            <w:tcW w:w="850" w:type="dxa"/>
            <w:gridSpan w:val="3"/>
            <w:vAlign w:val="center"/>
            <w:hideMark/>
          </w:tcPr>
          <w:p w14:paraId="209F3142" w14:textId="77777777" w:rsidR="00F35C13" w:rsidRPr="00565830" w:rsidRDefault="00F35C13" w:rsidP="00CC56D2">
            <w:pPr>
              <w:jc w:val="center"/>
              <w:rPr>
                <w:rFonts w:ascii="Arial" w:hAnsi="Arial" w:cs="Arial"/>
                <w:sz w:val="14"/>
                <w:szCs w:val="14"/>
              </w:rPr>
            </w:pPr>
            <w:r w:rsidRPr="00565830">
              <w:rPr>
                <w:rFonts w:ascii="Arial" w:hAnsi="Arial" w:cs="Arial"/>
                <w:sz w:val="14"/>
                <w:szCs w:val="14"/>
              </w:rPr>
              <w:t>%</w:t>
            </w:r>
          </w:p>
        </w:tc>
        <w:tc>
          <w:tcPr>
            <w:tcW w:w="1134" w:type="dxa"/>
            <w:gridSpan w:val="3"/>
            <w:vAlign w:val="center"/>
            <w:hideMark/>
          </w:tcPr>
          <w:p w14:paraId="163168CD" w14:textId="77777777" w:rsidR="00F35C13" w:rsidRPr="00565830" w:rsidRDefault="00F35C13" w:rsidP="00CC56D2">
            <w:pPr>
              <w:rPr>
                <w:rFonts w:ascii="Arial" w:hAnsi="Arial" w:cs="Arial"/>
                <w:sz w:val="14"/>
                <w:szCs w:val="14"/>
              </w:rPr>
            </w:pPr>
            <w:r w:rsidRPr="00565830">
              <w:rPr>
                <w:rFonts w:ascii="Arial" w:hAnsi="Arial" w:cs="Arial"/>
                <w:sz w:val="14"/>
                <w:szCs w:val="14"/>
              </w:rPr>
              <w:t>Gestión-Eficiencia-Semestral</w:t>
            </w:r>
          </w:p>
        </w:tc>
        <w:tc>
          <w:tcPr>
            <w:tcW w:w="993" w:type="dxa"/>
            <w:gridSpan w:val="3"/>
            <w:vAlign w:val="center"/>
            <w:hideMark/>
          </w:tcPr>
          <w:p w14:paraId="008E4051" w14:textId="77777777" w:rsidR="00F35C13" w:rsidRPr="00565830" w:rsidRDefault="00F35C13" w:rsidP="00CC56D2">
            <w:pPr>
              <w:jc w:val="center"/>
              <w:rPr>
                <w:rFonts w:ascii="Arial" w:hAnsi="Arial" w:cs="Arial"/>
                <w:sz w:val="14"/>
                <w:szCs w:val="14"/>
              </w:rPr>
            </w:pPr>
            <w:r w:rsidRPr="00565830">
              <w:rPr>
                <w:rFonts w:ascii="Arial" w:hAnsi="Arial" w:cs="Arial"/>
                <w:sz w:val="14"/>
                <w:szCs w:val="14"/>
              </w:rPr>
              <w:t>100.00</w:t>
            </w:r>
          </w:p>
        </w:tc>
        <w:tc>
          <w:tcPr>
            <w:tcW w:w="1134" w:type="dxa"/>
            <w:gridSpan w:val="3"/>
            <w:vAlign w:val="center"/>
            <w:hideMark/>
          </w:tcPr>
          <w:p w14:paraId="6C460D9C" w14:textId="77777777" w:rsidR="00F35C13" w:rsidRPr="00565830" w:rsidRDefault="00F35C13" w:rsidP="00CC56D2">
            <w:pPr>
              <w:jc w:val="center"/>
              <w:rPr>
                <w:rFonts w:ascii="Arial" w:hAnsi="Arial" w:cs="Arial"/>
                <w:sz w:val="14"/>
                <w:szCs w:val="14"/>
              </w:rPr>
            </w:pPr>
            <w:r w:rsidRPr="00565830">
              <w:rPr>
                <w:rFonts w:ascii="Arial" w:hAnsi="Arial" w:cs="Arial"/>
                <w:sz w:val="14"/>
                <w:szCs w:val="14"/>
              </w:rPr>
              <w:t>100.00</w:t>
            </w:r>
          </w:p>
        </w:tc>
        <w:tc>
          <w:tcPr>
            <w:tcW w:w="996" w:type="dxa"/>
            <w:gridSpan w:val="2"/>
            <w:vAlign w:val="center"/>
            <w:hideMark/>
          </w:tcPr>
          <w:p w14:paraId="5684FDA0" w14:textId="77777777" w:rsidR="00F35C13" w:rsidRPr="00565830" w:rsidRDefault="00F35C13" w:rsidP="00CC56D2">
            <w:pPr>
              <w:jc w:val="center"/>
              <w:rPr>
                <w:rFonts w:ascii="Arial" w:hAnsi="Arial" w:cs="Arial"/>
                <w:sz w:val="14"/>
                <w:szCs w:val="14"/>
              </w:rPr>
            </w:pPr>
            <w:r w:rsidRPr="00565830">
              <w:rPr>
                <w:rFonts w:ascii="Arial" w:hAnsi="Arial" w:cs="Arial"/>
                <w:sz w:val="14"/>
                <w:szCs w:val="14"/>
              </w:rPr>
              <w:t>100.00</w:t>
            </w:r>
          </w:p>
        </w:tc>
        <w:tc>
          <w:tcPr>
            <w:tcW w:w="1095" w:type="dxa"/>
            <w:vAlign w:val="center"/>
            <w:hideMark/>
          </w:tcPr>
          <w:p w14:paraId="4702D457" w14:textId="77777777" w:rsidR="00F35C13" w:rsidRPr="00565830" w:rsidRDefault="00F35C13" w:rsidP="00CC56D2">
            <w:pPr>
              <w:jc w:val="center"/>
              <w:rPr>
                <w:rFonts w:ascii="Arial" w:hAnsi="Arial" w:cs="Arial"/>
                <w:sz w:val="14"/>
                <w:szCs w:val="14"/>
              </w:rPr>
            </w:pPr>
            <w:r w:rsidRPr="00565830">
              <w:rPr>
                <w:rFonts w:ascii="Arial" w:hAnsi="Arial" w:cs="Arial"/>
                <w:sz w:val="14"/>
                <w:szCs w:val="14"/>
              </w:rPr>
              <w:t>100.0</w:t>
            </w:r>
          </w:p>
        </w:tc>
      </w:tr>
      <w:tr w:rsidR="00F35C13" w:rsidRPr="00565830" w14:paraId="4913B9D7" w14:textId="77777777" w:rsidTr="00CC56D2">
        <w:trPr>
          <w:trHeight w:val="2402"/>
        </w:trPr>
        <w:tc>
          <w:tcPr>
            <w:tcW w:w="1242" w:type="dxa"/>
            <w:gridSpan w:val="2"/>
            <w:vMerge/>
            <w:vAlign w:val="center"/>
            <w:hideMark/>
          </w:tcPr>
          <w:p w14:paraId="519753B2" w14:textId="77777777" w:rsidR="00F35C13" w:rsidRPr="00565830" w:rsidRDefault="00F35C13" w:rsidP="00CC56D2">
            <w:pPr>
              <w:rPr>
                <w:rFonts w:ascii="Arial" w:hAnsi="Arial" w:cs="Arial"/>
                <w:b/>
                <w:bCs/>
                <w:sz w:val="14"/>
                <w:szCs w:val="14"/>
              </w:rPr>
            </w:pPr>
          </w:p>
        </w:tc>
        <w:tc>
          <w:tcPr>
            <w:tcW w:w="1984" w:type="dxa"/>
            <w:gridSpan w:val="6"/>
            <w:vAlign w:val="center"/>
            <w:hideMark/>
          </w:tcPr>
          <w:p w14:paraId="3572A3B0" w14:textId="77777777" w:rsidR="00F35C13" w:rsidRPr="00565830" w:rsidRDefault="00F35C13" w:rsidP="00CC56D2">
            <w:pPr>
              <w:rPr>
                <w:rFonts w:ascii="Arial" w:hAnsi="Arial" w:cs="Arial"/>
                <w:sz w:val="14"/>
                <w:szCs w:val="14"/>
              </w:rPr>
            </w:pPr>
            <w:r w:rsidRPr="00565830">
              <w:rPr>
                <w:rFonts w:ascii="Arial" w:hAnsi="Arial" w:cs="Arial"/>
                <w:sz w:val="14"/>
                <w:szCs w:val="14"/>
              </w:rPr>
              <w:t>B 2 Proporcionar servicios de diagnóstico a nivel nacional mediante la Red Nacional de Laboratorios de Salud Pública para tener cobertura de las principales enfermedades de importancia en Salud Pública a través de un Marco Analítico Básico como sustento técnico a la Vigilancia Epidemiológica</w:t>
            </w:r>
          </w:p>
        </w:tc>
        <w:tc>
          <w:tcPr>
            <w:tcW w:w="1985" w:type="dxa"/>
            <w:gridSpan w:val="7"/>
            <w:vAlign w:val="center"/>
            <w:hideMark/>
          </w:tcPr>
          <w:p w14:paraId="09FE707B" w14:textId="77777777" w:rsidR="00F35C13" w:rsidRPr="00565830" w:rsidRDefault="00F35C13" w:rsidP="00CC56D2">
            <w:pPr>
              <w:rPr>
                <w:rFonts w:ascii="Arial" w:hAnsi="Arial" w:cs="Arial"/>
                <w:sz w:val="14"/>
                <w:szCs w:val="14"/>
              </w:rPr>
            </w:pPr>
            <w:r w:rsidRPr="00565830">
              <w:rPr>
                <w:rFonts w:ascii="Arial" w:hAnsi="Arial" w:cs="Arial"/>
                <w:sz w:val="14"/>
                <w:szCs w:val="14"/>
              </w:rPr>
              <w:t>Cobertura del Marco Analítico Básico de la Red Nacional de Laboratorios de Salud Pública (RNLSP)</w:t>
            </w:r>
          </w:p>
        </w:tc>
        <w:tc>
          <w:tcPr>
            <w:tcW w:w="1985" w:type="dxa"/>
            <w:gridSpan w:val="5"/>
            <w:vAlign w:val="center"/>
            <w:hideMark/>
          </w:tcPr>
          <w:p w14:paraId="012DD47C" w14:textId="77777777" w:rsidR="00F35C13" w:rsidRPr="00565830" w:rsidRDefault="00F35C13" w:rsidP="00CC56D2">
            <w:pPr>
              <w:rPr>
                <w:rFonts w:ascii="Arial" w:hAnsi="Arial" w:cs="Arial"/>
                <w:sz w:val="14"/>
                <w:szCs w:val="14"/>
              </w:rPr>
            </w:pPr>
            <w:r w:rsidRPr="00565830">
              <w:rPr>
                <w:rFonts w:ascii="Arial" w:hAnsi="Arial" w:cs="Arial"/>
                <w:sz w:val="14"/>
                <w:szCs w:val="14"/>
              </w:rPr>
              <w:t xml:space="preserve">(Número de LESP que cubre el 90% del </w:t>
            </w:r>
            <w:proofErr w:type="gramStart"/>
            <w:r w:rsidRPr="00565830">
              <w:rPr>
                <w:rFonts w:ascii="Arial" w:hAnsi="Arial" w:cs="Arial"/>
                <w:sz w:val="14"/>
                <w:szCs w:val="14"/>
              </w:rPr>
              <w:t>MAB  en</w:t>
            </w:r>
            <w:proofErr w:type="gramEnd"/>
            <w:r w:rsidRPr="00565830">
              <w:rPr>
                <w:rFonts w:ascii="Arial" w:hAnsi="Arial" w:cs="Arial"/>
                <w:sz w:val="14"/>
                <w:szCs w:val="14"/>
              </w:rPr>
              <w:t xml:space="preserve"> el año)/(Número de LESP de la RNLSP) X 100</w:t>
            </w:r>
          </w:p>
        </w:tc>
        <w:tc>
          <w:tcPr>
            <w:tcW w:w="850" w:type="dxa"/>
            <w:gridSpan w:val="3"/>
            <w:vAlign w:val="center"/>
            <w:hideMark/>
          </w:tcPr>
          <w:p w14:paraId="563D5C8E" w14:textId="77777777" w:rsidR="00F35C13" w:rsidRPr="00565830" w:rsidRDefault="00F35C13" w:rsidP="00CC56D2">
            <w:pPr>
              <w:jc w:val="center"/>
              <w:rPr>
                <w:rFonts w:ascii="Arial" w:hAnsi="Arial" w:cs="Arial"/>
                <w:sz w:val="14"/>
                <w:szCs w:val="14"/>
              </w:rPr>
            </w:pPr>
            <w:r w:rsidRPr="00565830">
              <w:rPr>
                <w:rFonts w:ascii="Arial" w:hAnsi="Arial" w:cs="Arial"/>
                <w:sz w:val="14"/>
                <w:szCs w:val="14"/>
              </w:rPr>
              <w:t>%</w:t>
            </w:r>
          </w:p>
        </w:tc>
        <w:tc>
          <w:tcPr>
            <w:tcW w:w="1134" w:type="dxa"/>
            <w:gridSpan w:val="3"/>
            <w:vAlign w:val="center"/>
            <w:hideMark/>
          </w:tcPr>
          <w:p w14:paraId="0B14A6AE" w14:textId="77777777" w:rsidR="00F35C13" w:rsidRPr="00565830" w:rsidRDefault="00F35C13" w:rsidP="00CC56D2">
            <w:pPr>
              <w:rPr>
                <w:rFonts w:ascii="Arial" w:hAnsi="Arial" w:cs="Arial"/>
                <w:sz w:val="14"/>
                <w:szCs w:val="14"/>
              </w:rPr>
            </w:pPr>
            <w:r w:rsidRPr="00565830">
              <w:rPr>
                <w:rFonts w:ascii="Arial" w:hAnsi="Arial" w:cs="Arial"/>
                <w:sz w:val="14"/>
                <w:szCs w:val="14"/>
              </w:rPr>
              <w:t>Gestión-Eficacia-Trimestral</w:t>
            </w:r>
          </w:p>
        </w:tc>
        <w:tc>
          <w:tcPr>
            <w:tcW w:w="993" w:type="dxa"/>
            <w:gridSpan w:val="3"/>
            <w:vAlign w:val="center"/>
            <w:hideMark/>
          </w:tcPr>
          <w:p w14:paraId="324B2027" w14:textId="77777777" w:rsidR="00F35C13" w:rsidRPr="00565830" w:rsidRDefault="00F35C13" w:rsidP="00CC56D2">
            <w:pPr>
              <w:jc w:val="center"/>
              <w:rPr>
                <w:rFonts w:ascii="Arial" w:hAnsi="Arial" w:cs="Arial"/>
                <w:sz w:val="14"/>
                <w:szCs w:val="14"/>
              </w:rPr>
            </w:pPr>
            <w:r w:rsidRPr="00565830">
              <w:rPr>
                <w:rFonts w:ascii="Arial" w:hAnsi="Arial" w:cs="Arial"/>
                <w:sz w:val="14"/>
                <w:szCs w:val="14"/>
              </w:rPr>
              <w:t>80.65</w:t>
            </w:r>
          </w:p>
        </w:tc>
        <w:tc>
          <w:tcPr>
            <w:tcW w:w="1134" w:type="dxa"/>
            <w:gridSpan w:val="3"/>
            <w:vAlign w:val="center"/>
            <w:hideMark/>
          </w:tcPr>
          <w:p w14:paraId="071D41D4" w14:textId="77777777" w:rsidR="00F35C13" w:rsidRPr="00565830" w:rsidRDefault="00F35C13" w:rsidP="00CC56D2">
            <w:pPr>
              <w:jc w:val="center"/>
              <w:rPr>
                <w:rFonts w:ascii="Arial" w:hAnsi="Arial" w:cs="Arial"/>
                <w:sz w:val="14"/>
                <w:szCs w:val="14"/>
              </w:rPr>
            </w:pPr>
            <w:r w:rsidRPr="00565830">
              <w:rPr>
                <w:rFonts w:ascii="Arial" w:hAnsi="Arial" w:cs="Arial"/>
                <w:sz w:val="14"/>
                <w:szCs w:val="14"/>
              </w:rPr>
              <w:t>80.65</w:t>
            </w:r>
          </w:p>
        </w:tc>
        <w:tc>
          <w:tcPr>
            <w:tcW w:w="996" w:type="dxa"/>
            <w:gridSpan w:val="2"/>
            <w:vAlign w:val="center"/>
            <w:hideMark/>
          </w:tcPr>
          <w:p w14:paraId="08730456" w14:textId="77777777" w:rsidR="00F35C13" w:rsidRPr="00565830" w:rsidRDefault="00F35C13" w:rsidP="00CC56D2">
            <w:pPr>
              <w:jc w:val="center"/>
              <w:rPr>
                <w:rFonts w:ascii="Arial" w:hAnsi="Arial" w:cs="Arial"/>
                <w:sz w:val="14"/>
                <w:szCs w:val="14"/>
              </w:rPr>
            </w:pPr>
            <w:r w:rsidRPr="00565830">
              <w:rPr>
                <w:rFonts w:ascii="Arial" w:hAnsi="Arial" w:cs="Arial"/>
                <w:sz w:val="14"/>
                <w:szCs w:val="14"/>
              </w:rPr>
              <w:t>77.42</w:t>
            </w:r>
          </w:p>
        </w:tc>
        <w:tc>
          <w:tcPr>
            <w:tcW w:w="1095" w:type="dxa"/>
            <w:vAlign w:val="center"/>
            <w:hideMark/>
          </w:tcPr>
          <w:p w14:paraId="3F7A1210" w14:textId="77777777" w:rsidR="00F35C13" w:rsidRPr="00565830" w:rsidRDefault="00F35C13" w:rsidP="00CC56D2">
            <w:pPr>
              <w:jc w:val="center"/>
              <w:rPr>
                <w:rFonts w:ascii="Arial" w:hAnsi="Arial" w:cs="Arial"/>
                <w:sz w:val="14"/>
                <w:szCs w:val="14"/>
              </w:rPr>
            </w:pPr>
            <w:r w:rsidRPr="00565830">
              <w:rPr>
                <w:rFonts w:ascii="Arial" w:hAnsi="Arial" w:cs="Arial"/>
                <w:sz w:val="14"/>
                <w:szCs w:val="14"/>
              </w:rPr>
              <w:t>96.00</w:t>
            </w:r>
          </w:p>
        </w:tc>
      </w:tr>
      <w:tr w:rsidR="00F35C13" w:rsidRPr="00565830" w14:paraId="48996A73" w14:textId="77777777" w:rsidTr="00CC56D2">
        <w:trPr>
          <w:trHeight w:val="2253"/>
        </w:trPr>
        <w:tc>
          <w:tcPr>
            <w:tcW w:w="1242" w:type="dxa"/>
            <w:gridSpan w:val="2"/>
            <w:vMerge/>
            <w:vAlign w:val="center"/>
            <w:hideMark/>
          </w:tcPr>
          <w:p w14:paraId="14CD58A1" w14:textId="77777777" w:rsidR="00F35C13" w:rsidRPr="00565830" w:rsidRDefault="00F35C13" w:rsidP="00CC56D2">
            <w:pPr>
              <w:rPr>
                <w:rFonts w:ascii="Arial" w:hAnsi="Arial" w:cs="Arial"/>
                <w:b/>
                <w:bCs/>
                <w:sz w:val="14"/>
                <w:szCs w:val="14"/>
              </w:rPr>
            </w:pPr>
          </w:p>
        </w:tc>
        <w:tc>
          <w:tcPr>
            <w:tcW w:w="1984" w:type="dxa"/>
            <w:gridSpan w:val="6"/>
            <w:vAlign w:val="center"/>
            <w:hideMark/>
          </w:tcPr>
          <w:p w14:paraId="24CDE511" w14:textId="77777777" w:rsidR="00F35C13" w:rsidRPr="00565830" w:rsidRDefault="00F35C13" w:rsidP="00CC56D2">
            <w:pPr>
              <w:rPr>
                <w:rFonts w:ascii="Arial" w:hAnsi="Arial" w:cs="Arial"/>
                <w:sz w:val="14"/>
                <w:szCs w:val="14"/>
              </w:rPr>
            </w:pPr>
            <w:r w:rsidRPr="00565830">
              <w:rPr>
                <w:rFonts w:ascii="Arial" w:hAnsi="Arial" w:cs="Arial"/>
                <w:sz w:val="14"/>
                <w:szCs w:val="14"/>
              </w:rPr>
              <w:t>C 3 Actualizar al personal de salud de las entidades federativas, a través de la capacitación continua sobre los padecimientos sujetos a vigilancia epidemiológica, para un diagnóstico y tratamiento oportunos, así como para la operación de los programas de acción específicos.</w:t>
            </w:r>
          </w:p>
        </w:tc>
        <w:tc>
          <w:tcPr>
            <w:tcW w:w="1985" w:type="dxa"/>
            <w:gridSpan w:val="7"/>
            <w:vAlign w:val="center"/>
            <w:hideMark/>
          </w:tcPr>
          <w:p w14:paraId="09D98915" w14:textId="77777777" w:rsidR="00F35C13" w:rsidRPr="00565830" w:rsidRDefault="00F35C13" w:rsidP="00CC56D2">
            <w:pPr>
              <w:rPr>
                <w:rFonts w:ascii="Arial" w:hAnsi="Arial" w:cs="Arial"/>
                <w:sz w:val="14"/>
                <w:szCs w:val="14"/>
              </w:rPr>
            </w:pPr>
            <w:r w:rsidRPr="00565830">
              <w:rPr>
                <w:rFonts w:ascii="Arial" w:hAnsi="Arial" w:cs="Arial"/>
                <w:sz w:val="14"/>
                <w:szCs w:val="14"/>
              </w:rPr>
              <w:t xml:space="preserve">Cobertura de capacitación sobre enfermedades infecciosas y transmisibles </w:t>
            </w:r>
          </w:p>
        </w:tc>
        <w:tc>
          <w:tcPr>
            <w:tcW w:w="1985" w:type="dxa"/>
            <w:gridSpan w:val="5"/>
            <w:vAlign w:val="center"/>
            <w:hideMark/>
          </w:tcPr>
          <w:p w14:paraId="796C9E2D" w14:textId="77777777" w:rsidR="00F35C13" w:rsidRPr="00565830" w:rsidRDefault="00F35C13" w:rsidP="00CC56D2">
            <w:pPr>
              <w:rPr>
                <w:rFonts w:ascii="Arial" w:hAnsi="Arial" w:cs="Arial"/>
                <w:sz w:val="14"/>
                <w:szCs w:val="14"/>
              </w:rPr>
            </w:pPr>
            <w:r w:rsidRPr="00565830">
              <w:rPr>
                <w:rFonts w:ascii="Arial" w:hAnsi="Arial" w:cs="Arial"/>
                <w:sz w:val="14"/>
                <w:szCs w:val="14"/>
              </w:rPr>
              <w:t xml:space="preserve">(Número de eventos de capacitación realizados por el </w:t>
            </w:r>
            <w:proofErr w:type="gramStart"/>
            <w:r w:rsidRPr="00565830">
              <w:rPr>
                <w:rFonts w:ascii="Arial" w:hAnsi="Arial" w:cs="Arial"/>
                <w:sz w:val="14"/>
                <w:szCs w:val="14"/>
              </w:rPr>
              <w:t>CENAPRECE)/</w:t>
            </w:r>
            <w:proofErr w:type="gramEnd"/>
            <w:r w:rsidRPr="00565830">
              <w:rPr>
                <w:rFonts w:ascii="Arial" w:hAnsi="Arial" w:cs="Arial"/>
                <w:sz w:val="14"/>
                <w:szCs w:val="14"/>
              </w:rPr>
              <w:t>(Número de eventos de capacitación programados) X 100</w:t>
            </w:r>
          </w:p>
        </w:tc>
        <w:tc>
          <w:tcPr>
            <w:tcW w:w="850" w:type="dxa"/>
            <w:gridSpan w:val="3"/>
            <w:vAlign w:val="center"/>
            <w:hideMark/>
          </w:tcPr>
          <w:p w14:paraId="56FD235A" w14:textId="77777777" w:rsidR="00F35C13" w:rsidRPr="00565830" w:rsidRDefault="00F35C13" w:rsidP="00CC56D2">
            <w:pPr>
              <w:jc w:val="center"/>
              <w:rPr>
                <w:rFonts w:ascii="Arial" w:hAnsi="Arial" w:cs="Arial"/>
                <w:sz w:val="14"/>
                <w:szCs w:val="14"/>
              </w:rPr>
            </w:pPr>
            <w:r w:rsidRPr="00565830">
              <w:rPr>
                <w:rFonts w:ascii="Arial" w:hAnsi="Arial" w:cs="Arial"/>
                <w:sz w:val="14"/>
                <w:szCs w:val="14"/>
              </w:rPr>
              <w:t>%</w:t>
            </w:r>
          </w:p>
        </w:tc>
        <w:tc>
          <w:tcPr>
            <w:tcW w:w="1134" w:type="dxa"/>
            <w:gridSpan w:val="3"/>
            <w:vAlign w:val="center"/>
            <w:hideMark/>
          </w:tcPr>
          <w:p w14:paraId="4842090A" w14:textId="77777777" w:rsidR="00F35C13" w:rsidRPr="00565830" w:rsidRDefault="00F35C13" w:rsidP="00CC56D2">
            <w:pPr>
              <w:rPr>
                <w:rFonts w:ascii="Arial" w:hAnsi="Arial" w:cs="Arial"/>
                <w:sz w:val="14"/>
                <w:szCs w:val="14"/>
              </w:rPr>
            </w:pPr>
            <w:r w:rsidRPr="00565830">
              <w:rPr>
                <w:rFonts w:ascii="Arial" w:hAnsi="Arial" w:cs="Arial"/>
                <w:sz w:val="14"/>
                <w:szCs w:val="14"/>
              </w:rPr>
              <w:t>Gestión-Eficacia-Trimestral</w:t>
            </w:r>
          </w:p>
        </w:tc>
        <w:tc>
          <w:tcPr>
            <w:tcW w:w="993" w:type="dxa"/>
            <w:gridSpan w:val="3"/>
            <w:vAlign w:val="center"/>
            <w:hideMark/>
          </w:tcPr>
          <w:p w14:paraId="28619A34" w14:textId="77777777" w:rsidR="00F35C13" w:rsidRPr="00565830" w:rsidRDefault="00F35C13" w:rsidP="00CC56D2">
            <w:pPr>
              <w:jc w:val="center"/>
              <w:rPr>
                <w:rFonts w:ascii="Arial" w:hAnsi="Arial" w:cs="Arial"/>
                <w:sz w:val="14"/>
                <w:szCs w:val="14"/>
              </w:rPr>
            </w:pPr>
            <w:r w:rsidRPr="00565830">
              <w:rPr>
                <w:rFonts w:ascii="Arial" w:hAnsi="Arial" w:cs="Arial"/>
                <w:sz w:val="14"/>
                <w:szCs w:val="14"/>
              </w:rPr>
              <w:t>88.89</w:t>
            </w:r>
          </w:p>
        </w:tc>
        <w:tc>
          <w:tcPr>
            <w:tcW w:w="1134" w:type="dxa"/>
            <w:gridSpan w:val="3"/>
            <w:vAlign w:val="center"/>
            <w:hideMark/>
          </w:tcPr>
          <w:p w14:paraId="43658100" w14:textId="77777777" w:rsidR="00F35C13" w:rsidRPr="00565830" w:rsidRDefault="00F35C13" w:rsidP="00CC56D2">
            <w:pPr>
              <w:jc w:val="center"/>
              <w:rPr>
                <w:rFonts w:ascii="Arial" w:hAnsi="Arial" w:cs="Arial"/>
                <w:sz w:val="14"/>
                <w:szCs w:val="14"/>
              </w:rPr>
            </w:pPr>
            <w:r w:rsidRPr="00565830">
              <w:rPr>
                <w:rFonts w:ascii="Arial" w:hAnsi="Arial" w:cs="Arial"/>
                <w:sz w:val="14"/>
                <w:szCs w:val="14"/>
              </w:rPr>
              <w:t>88.89</w:t>
            </w:r>
          </w:p>
        </w:tc>
        <w:tc>
          <w:tcPr>
            <w:tcW w:w="996" w:type="dxa"/>
            <w:gridSpan w:val="2"/>
            <w:vAlign w:val="center"/>
            <w:hideMark/>
          </w:tcPr>
          <w:p w14:paraId="2812BB1D" w14:textId="77777777" w:rsidR="00F35C13" w:rsidRPr="00565830" w:rsidRDefault="00F35C13" w:rsidP="00CC56D2">
            <w:pPr>
              <w:jc w:val="center"/>
              <w:rPr>
                <w:rFonts w:ascii="Arial" w:hAnsi="Arial" w:cs="Arial"/>
                <w:sz w:val="14"/>
                <w:szCs w:val="14"/>
              </w:rPr>
            </w:pPr>
            <w:r w:rsidRPr="00565830">
              <w:rPr>
                <w:rFonts w:ascii="Arial" w:hAnsi="Arial" w:cs="Arial"/>
                <w:sz w:val="14"/>
                <w:szCs w:val="14"/>
              </w:rPr>
              <w:t>133.33</w:t>
            </w:r>
          </w:p>
        </w:tc>
        <w:tc>
          <w:tcPr>
            <w:tcW w:w="1095" w:type="dxa"/>
            <w:vAlign w:val="center"/>
            <w:hideMark/>
          </w:tcPr>
          <w:p w14:paraId="71A10067" w14:textId="77777777" w:rsidR="00F35C13" w:rsidRPr="00565830" w:rsidRDefault="00F35C13" w:rsidP="00CC56D2">
            <w:pPr>
              <w:jc w:val="center"/>
              <w:rPr>
                <w:rFonts w:ascii="Arial" w:hAnsi="Arial" w:cs="Arial"/>
                <w:sz w:val="14"/>
                <w:szCs w:val="14"/>
              </w:rPr>
            </w:pPr>
            <w:r w:rsidRPr="00565830">
              <w:rPr>
                <w:rFonts w:ascii="Arial" w:hAnsi="Arial" w:cs="Arial"/>
                <w:sz w:val="14"/>
                <w:szCs w:val="14"/>
              </w:rPr>
              <w:t>149.99</w:t>
            </w:r>
          </w:p>
        </w:tc>
      </w:tr>
      <w:tr w:rsidR="00F35C13" w:rsidRPr="00565830" w14:paraId="4761C900" w14:textId="77777777" w:rsidTr="00CC56D2">
        <w:trPr>
          <w:trHeight w:val="450"/>
        </w:trPr>
        <w:tc>
          <w:tcPr>
            <w:tcW w:w="13398" w:type="dxa"/>
            <w:gridSpan w:val="35"/>
            <w:shd w:val="clear" w:color="auto" w:fill="A6A6A6" w:themeFill="background1" w:themeFillShade="A6"/>
            <w:noWrap/>
            <w:vAlign w:val="center"/>
            <w:hideMark/>
          </w:tcPr>
          <w:p w14:paraId="4095A182" w14:textId="77777777" w:rsidR="00F35C13" w:rsidRPr="00565830" w:rsidRDefault="00F35C13" w:rsidP="00CC56D2">
            <w:pPr>
              <w:jc w:val="center"/>
              <w:rPr>
                <w:rFonts w:ascii="Arial" w:hAnsi="Arial" w:cs="Arial"/>
                <w:b/>
                <w:bCs/>
                <w:sz w:val="14"/>
                <w:szCs w:val="14"/>
              </w:rPr>
            </w:pPr>
            <w:r w:rsidRPr="00565830">
              <w:rPr>
                <w:rFonts w:ascii="Arial" w:hAnsi="Arial" w:cs="Arial"/>
                <w:b/>
                <w:bCs/>
                <w:sz w:val="14"/>
                <w:szCs w:val="14"/>
              </w:rPr>
              <w:t>PRESUPUESTO</w:t>
            </w:r>
          </w:p>
        </w:tc>
      </w:tr>
      <w:tr w:rsidR="00F35C13" w:rsidRPr="00565830" w14:paraId="1AF090DD" w14:textId="77777777" w:rsidTr="00CC56D2">
        <w:trPr>
          <w:trHeight w:val="525"/>
        </w:trPr>
        <w:tc>
          <w:tcPr>
            <w:tcW w:w="1063" w:type="dxa"/>
            <w:shd w:val="clear" w:color="auto" w:fill="000000" w:themeFill="text1"/>
            <w:noWrap/>
            <w:vAlign w:val="center"/>
            <w:hideMark/>
          </w:tcPr>
          <w:p w14:paraId="0D68D780" w14:textId="77777777" w:rsidR="00F35C13" w:rsidRPr="00565830" w:rsidRDefault="00F35C13" w:rsidP="00CC56D2">
            <w:pPr>
              <w:rPr>
                <w:rFonts w:ascii="Arial" w:hAnsi="Arial" w:cs="Arial"/>
                <w:b/>
                <w:bCs/>
                <w:sz w:val="14"/>
                <w:szCs w:val="14"/>
              </w:rPr>
            </w:pPr>
            <w:r w:rsidRPr="00565830">
              <w:rPr>
                <w:rFonts w:ascii="Arial" w:hAnsi="Arial" w:cs="Arial"/>
                <w:b/>
                <w:bCs/>
                <w:sz w:val="14"/>
                <w:szCs w:val="14"/>
              </w:rPr>
              <w:t> </w:t>
            </w:r>
          </w:p>
        </w:tc>
        <w:tc>
          <w:tcPr>
            <w:tcW w:w="472" w:type="dxa"/>
            <w:gridSpan w:val="2"/>
            <w:shd w:val="clear" w:color="auto" w:fill="000000" w:themeFill="text1"/>
            <w:noWrap/>
            <w:vAlign w:val="center"/>
            <w:hideMark/>
          </w:tcPr>
          <w:p w14:paraId="0A1FFC74" w14:textId="77777777" w:rsidR="00F35C13" w:rsidRPr="00565830" w:rsidRDefault="00F35C13" w:rsidP="00CC56D2">
            <w:pPr>
              <w:rPr>
                <w:rFonts w:ascii="Arial" w:hAnsi="Arial" w:cs="Arial"/>
                <w:sz w:val="14"/>
                <w:szCs w:val="14"/>
              </w:rPr>
            </w:pPr>
            <w:r w:rsidRPr="00565830">
              <w:rPr>
                <w:rFonts w:ascii="Arial" w:hAnsi="Arial" w:cs="Arial"/>
                <w:sz w:val="14"/>
                <w:szCs w:val="14"/>
              </w:rPr>
              <w:t> </w:t>
            </w:r>
          </w:p>
        </w:tc>
        <w:tc>
          <w:tcPr>
            <w:tcW w:w="1072" w:type="dxa"/>
            <w:gridSpan w:val="3"/>
            <w:shd w:val="clear" w:color="auto" w:fill="000000" w:themeFill="text1"/>
            <w:noWrap/>
            <w:vAlign w:val="center"/>
            <w:hideMark/>
          </w:tcPr>
          <w:p w14:paraId="0824B567" w14:textId="77777777" w:rsidR="00F35C13" w:rsidRPr="00565830" w:rsidRDefault="00F35C13" w:rsidP="00CC56D2">
            <w:pPr>
              <w:rPr>
                <w:rFonts w:ascii="Arial" w:hAnsi="Arial" w:cs="Arial"/>
                <w:sz w:val="14"/>
                <w:szCs w:val="14"/>
              </w:rPr>
            </w:pPr>
            <w:r w:rsidRPr="00565830">
              <w:rPr>
                <w:rFonts w:ascii="Arial" w:hAnsi="Arial" w:cs="Arial"/>
                <w:sz w:val="14"/>
                <w:szCs w:val="14"/>
              </w:rPr>
              <w:t> </w:t>
            </w:r>
          </w:p>
        </w:tc>
        <w:tc>
          <w:tcPr>
            <w:tcW w:w="306" w:type="dxa"/>
            <w:shd w:val="clear" w:color="auto" w:fill="000000" w:themeFill="text1"/>
            <w:noWrap/>
            <w:vAlign w:val="center"/>
            <w:hideMark/>
          </w:tcPr>
          <w:p w14:paraId="034FD9EF" w14:textId="77777777" w:rsidR="00F35C13" w:rsidRPr="00565830" w:rsidRDefault="00F35C13" w:rsidP="00CC56D2">
            <w:pPr>
              <w:rPr>
                <w:rFonts w:ascii="Arial" w:hAnsi="Arial" w:cs="Arial"/>
                <w:sz w:val="14"/>
                <w:szCs w:val="14"/>
              </w:rPr>
            </w:pPr>
            <w:r w:rsidRPr="00565830">
              <w:rPr>
                <w:rFonts w:ascii="Arial" w:hAnsi="Arial" w:cs="Arial"/>
                <w:sz w:val="14"/>
                <w:szCs w:val="14"/>
              </w:rPr>
              <w:t> </w:t>
            </w:r>
          </w:p>
        </w:tc>
        <w:tc>
          <w:tcPr>
            <w:tcW w:w="387" w:type="dxa"/>
            <w:gridSpan w:val="2"/>
            <w:shd w:val="clear" w:color="auto" w:fill="000000" w:themeFill="text1"/>
            <w:noWrap/>
            <w:vAlign w:val="center"/>
            <w:hideMark/>
          </w:tcPr>
          <w:p w14:paraId="29684B11" w14:textId="77777777" w:rsidR="00F35C13" w:rsidRPr="00565830" w:rsidRDefault="00F35C13" w:rsidP="00CC56D2">
            <w:pPr>
              <w:rPr>
                <w:rFonts w:ascii="Arial" w:hAnsi="Arial" w:cs="Arial"/>
                <w:sz w:val="14"/>
                <w:szCs w:val="14"/>
              </w:rPr>
            </w:pPr>
            <w:r w:rsidRPr="00565830">
              <w:rPr>
                <w:rFonts w:ascii="Arial" w:hAnsi="Arial" w:cs="Arial"/>
                <w:sz w:val="14"/>
                <w:szCs w:val="14"/>
              </w:rPr>
              <w:t> </w:t>
            </w:r>
          </w:p>
        </w:tc>
        <w:tc>
          <w:tcPr>
            <w:tcW w:w="242" w:type="dxa"/>
            <w:shd w:val="clear" w:color="auto" w:fill="000000" w:themeFill="text1"/>
            <w:noWrap/>
            <w:vAlign w:val="center"/>
            <w:hideMark/>
          </w:tcPr>
          <w:p w14:paraId="21148939" w14:textId="77777777" w:rsidR="00F35C13" w:rsidRPr="00565830" w:rsidRDefault="00F35C13" w:rsidP="00CC56D2">
            <w:pPr>
              <w:rPr>
                <w:rFonts w:ascii="Arial" w:hAnsi="Arial" w:cs="Arial"/>
                <w:sz w:val="14"/>
                <w:szCs w:val="14"/>
              </w:rPr>
            </w:pPr>
            <w:r w:rsidRPr="00565830">
              <w:rPr>
                <w:rFonts w:ascii="Arial" w:hAnsi="Arial" w:cs="Arial"/>
                <w:sz w:val="14"/>
                <w:szCs w:val="14"/>
              </w:rPr>
              <w:t> </w:t>
            </w:r>
          </w:p>
        </w:tc>
        <w:tc>
          <w:tcPr>
            <w:tcW w:w="250" w:type="dxa"/>
            <w:shd w:val="clear" w:color="auto" w:fill="000000" w:themeFill="text1"/>
            <w:vAlign w:val="center"/>
            <w:hideMark/>
          </w:tcPr>
          <w:p w14:paraId="2BE1031C" w14:textId="77777777" w:rsidR="00F35C13" w:rsidRPr="00565830" w:rsidRDefault="00F35C13" w:rsidP="00CC56D2">
            <w:pPr>
              <w:rPr>
                <w:rFonts w:ascii="Arial" w:hAnsi="Arial" w:cs="Arial"/>
                <w:sz w:val="14"/>
                <w:szCs w:val="14"/>
              </w:rPr>
            </w:pPr>
            <w:r w:rsidRPr="00565830">
              <w:rPr>
                <w:rFonts w:ascii="Arial" w:hAnsi="Arial" w:cs="Arial"/>
                <w:sz w:val="14"/>
                <w:szCs w:val="14"/>
              </w:rPr>
              <w:t> </w:t>
            </w:r>
          </w:p>
        </w:tc>
        <w:tc>
          <w:tcPr>
            <w:tcW w:w="525" w:type="dxa"/>
            <w:gridSpan w:val="2"/>
            <w:shd w:val="clear" w:color="auto" w:fill="000000" w:themeFill="text1"/>
            <w:vAlign w:val="center"/>
            <w:hideMark/>
          </w:tcPr>
          <w:p w14:paraId="724113DF" w14:textId="77777777" w:rsidR="00F35C13" w:rsidRPr="00565830" w:rsidRDefault="00F35C13" w:rsidP="00CC56D2">
            <w:pPr>
              <w:rPr>
                <w:rFonts w:ascii="Arial" w:hAnsi="Arial" w:cs="Arial"/>
                <w:sz w:val="14"/>
                <w:szCs w:val="14"/>
              </w:rPr>
            </w:pPr>
            <w:r w:rsidRPr="00565830">
              <w:rPr>
                <w:rFonts w:ascii="Arial" w:hAnsi="Arial" w:cs="Arial"/>
                <w:sz w:val="14"/>
                <w:szCs w:val="14"/>
              </w:rPr>
              <w:t> </w:t>
            </w:r>
          </w:p>
        </w:tc>
        <w:tc>
          <w:tcPr>
            <w:tcW w:w="599" w:type="dxa"/>
            <w:shd w:val="clear" w:color="auto" w:fill="000000" w:themeFill="text1"/>
            <w:vAlign w:val="center"/>
            <w:hideMark/>
          </w:tcPr>
          <w:p w14:paraId="45A455E3" w14:textId="77777777" w:rsidR="00F35C13" w:rsidRPr="00565830" w:rsidRDefault="00F35C13" w:rsidP="00CC56D2">
            <w:pPr>
              <w:rPr>
                <w:rFonts w:ascii="Arial" w:hAnsi="Arial" w:cs="Arial"/>
                <w:sz w:val="14"/>
                <w:szCs w:val="14"/>
              </w:rPr>
            </w:pPr>
            <w:r w:rsidRPr="00565830">
              <w:rPr>
                <w:rFonts w:ascii="Arial" w:hAnsi="Arial" w:cs="Arial"/>
                <w:sz w:val="14"/>
                <w:szCs w:val="14"/>
              </w:rPr>
              <w:t> </w:t>
            </w:r>
          </w:p>
        </w:tc>
        <w:tc>
          <w:tcPr>
            <w:tcW w:w="705" w:type="dxa"/>
            <w:gridSpan w:val="3"/>
            <w:shd w:val="clear" w:color="auto" w:fill="000000" w:themeFill="text1"/>
            <w:vAlign w:val="center"/>
            <w:hideMark/>
          </w:tcPr>
          <w:p w14:paraId="4C7FB351" w14:textId="77777777" w:rsidR="00F35C13" w:rsidRPr="00565830" w:rsidRDefault="00F35C13" w:rsidP="00CC56D2">
            <w:pPr>
              <w:rPr>
                <w:rFonts w:ascii="Arial" w:hAnsi="Arial" w:cs="Arial"/>
                <w:sz w:val="14"/>
                <w:szCs w:val="14"/>
              </w:rPr>
            </w:pPr>
            <w:r w:rsidRPr="00565830">
              <w:rPr>
                <w:rFonts w:ascii="Arial" w:hAnsi="Arial" w:cs="Arial"/>
                <w:sz w:val="14"/>
                <w:szCs w:val="14"/>
              </w:rPr>
              <w:t> </w:t>
            </w:r>
          </w:p>
        </w:tc>
        <w:tc>
          <w:tcPr>
            <w:tcW w:w="582" w:type="dxa"/>
            <w:shd w:val="clear" w:color="auto" w:fill="000000" w:themeFill="text1"/>
            <w:vAlign w:val="center"/>
            <w:hideMark/>
          </w:tcPr>
          <w:p w14:paraId="5A0EF9B3" w14:textId="77777777" w:rsidR="00F35C13" w:rsidRPr="00565830" w:rsidRDefault="00F35C13" w:rsidP="00CC56D2">
            <w:pPr>
              <w:rPr>
                <w:rFonts w:ascii="Arial" w:hAnsi="Arial" w:cs="Arial"/>
                <w:sz w:val="14"/>
                <w:szCs w:val="14"/>
              </w:rPr>
            </w:pPr>
            <w:r w:rsidRPr="00565830">
              <w:rPr>
                <w:rFonts w:ascii="Arial" w:hAnsi="Arial" w:cs="Arial"/>
                <w:sz w:val="14"/>
                <w:szCs w:val="14"/>
              </w:rPr>
              <w:t> </w:t>
            </w:r>
          </w:p>
        </w:tc>
        <w:tc>
          <w:tcPr>
            <w:tcW w:w="493" w:type="dxa"/>
            <w:shd w:val="clear" w:color="auto" w:fill="000000" w:themeFill="text1"/>
            <w:vAlign w:val="center"/>
            <w:hideMark/>
          </w:tcPr>
          <w:p w14:paraId="0B8E289D" w14:textId="77777777" w:rsidR="00F35C13" w:rsidRPr="00565830" w:rsidRDefault="00F35C13" w:rsidP="00CC56D2">
            <w:pPr>
              <w:rPr>
                <w:rFonts w:ascii="Arial" w:hAnsi="Arial" w:cs="Arial"/>
                <w:sz w:val="14"/>
                <w:szCs w:val="14"/>
              </w:rPr>
            </w:pPr>
            <w:r w:rsidRPr="00565830">
              <w:rPr>
                <w:rFonts w:ascii="Arial" w:hAnsi="Arial" w:cs="Arial"/>
                <w:sz w:val="14"/>
                <w:szCs w:val="14"/>
              </w:rPr>
              <w:t> </w:t>
            </w:r>
          </w:p>
        </w:tc>
        <w:tc>
          <w:tcPr>
            <w:tcW w:w="531" w:type="dxa"/>
            <w:gridSpan w:val="2"/>
            <w:shd w:val="clear" w:color="auto" w:fill="000000" w:themeFill="text1"/>
            <w:vAlign w:val="center"/>
            <w:hideMark/>
          </w:tcPr>
          <w:p w14:paraId="67B8C7AE" w14:textId="77777777" w:rsidR="00F35C13" w:rsidRPr="00565830" w:rsidRDefault="00F35C13" w:rsidP="00CC56D2">
            <w:pPr>
              <w:rPr>
                <w:rFonts w:ascii="Arial" w:hAnsi="Arial" w:cs="Arial"/>
                <w:sz w:val="14"/>
                <w:szCs w:val="14"/>
              </w:rPr>
            </w:pPr>
            <w:r w:rsidRPr="00565830">
              <w:rPr>
                <w:rFonts w:ascii="Arial" w:hAnsi="Arial" w:cs="Arial"/>
                <w:sz w:val="14"/>
                <w:szCs w:val="14"/>
              </w:rPr>
              <w:t> </w:t>
            </w:r>
          </w:p>
        </w:tc>
        <w:tc>
          <w:tcPr>
            <w:tcW w:w="811" w:type="dxa"/>
            <w:shd w:val="clear" w:color="auto" w:fill="000000" w:themeFill="text1"/>
            <w:vAlign w:val="center"/>
            <w:hideMark/>
          </w:tcPr>
          <w:p w14:paraId="36D14457" w14:textId="77777777" w:rsidR="00F35C13" w:rsidRPr="00565830" w:rsidRDefault="00F35C13" w:rsidP="00CC56D2">
            <w:pPr>
              <w:rPr>
                <w:rFonts w:ascii="Arial" w:hAnsi="Arial" w:cs="Arial"/>
                <w:sz w:val="14"/>
                <w:szCs w:val="14"/>
              </w:rPr>
            </w:pPr>
            <w:r w:rsidRPr="00565830">
              <w:rPr>
                <w:rFonts w:ascii="Arial" w:hAnsi="Arial" w:cs="Arial"/>
                <w:sz w:val="14"/>
                <w:szCs w:val="14"/>
              </w:rPr>
              <w:t> </w:t>
            </w:r>
          </w:p>
        </w:tc>
        <w:tc>
          <w:tcPr>
            <w:tcW w:w="948" w:type="dxa"/>
            <w:gridSpan w:val="3"/>
            <w:shd w:val="clear" w:color="auto" w:fill="000000" w:themeFill="text1"/>
            <w:vAlign w:val="center"/>
            <w:hideMark/>
          </w:tcPr>
          <w:p w14:paraId="15378730" w14:textId="77777777" w:rsidR="00F35C13" w:rsidRPr="00565830" w:rsidRDefault="00F35C13" w:rsidP="00CC56D2">
            <w:pPr>
              <w:rPr>
                <w:rFonts w:ascii="Arial" w:hAnsi="Arial" w:cs="Arial"/>
                <w:sz w:val="14"/>
                <w:szCs w:val="14"/>
              </w:rPr>
            </w:pPr>
            <w:r w:rsidRPr="00565830">
              <w:rPr>
                <w:rFonts w:ascii="Arial" w:hAnsi="Arial" w:cs="Arial"/>
                <w:sz w:val="14"/>
                <w:szCs w:val="14"/>
              </w:rPr>
              <w:t> </w:t>
            </w:r>
          </w:p>
        </w:tc>
        <w:tc>
          <w:tcPr>
            <w:tcW w:w="874" w:type="dxa"/>
            <w:gridSpan w:val="2"/>
            <w:shd w:val="clear" w:color="auto" w:fill="000000" w:themeFill="text1"/>
            <w:vAlign w:val="center"/>
            <w:hideMark/>
          </w:tcPr>
          <w:p w14:paraId="0E49FE27" w14:textId="77777777" w:rsidR="00F35C13" w:rsidRPr="00565830" w:rsidRDefault="00F35C13" w:rsidP="00CC56D2">
            <w:pPr>
              <w:rPr>
                <w:rFonts w:ascii="Arial" w:hAnsi="Arial" w:cs="Arial"/>
                <w:sz w:val="14"/>
                <w:szCs w:val="14"/>
              </w:rPr>
            </w:pPr>
            <w:r w:rsidRPr="00565830">
              <w:rPr>
                <w:rFonts w:ascii="Arial" w:hAnsi="Arial" w:cs="Arial"/>
                <w:sz w:val="14"/>
                <w:szCs w:val="14"/>
              </w:rPr>
              <w:t> </w:t>
            </w:r>
          </w:p>
        </w:tc>
        <w:tc>
          <w:tcPr>
            <w:tcW w:w="260" w:type="dxa"/>
            <w:shd w:val="clear" w:color="auto" w:fill="000000" w:themeFill="text1"/>
            <w:vAlign w:val="center"/>
            <w:hideMark/>
          </w:tcPr>
          <w:p w14:paraId="47A7DD1C" w14:textId="77777777" w:rsidR="00F35C13" w:rsidRPr="00565830" w:rsidRDefault="00F35C13" w:rsidP="00CC56D2">
            <w:pPr>
              <w:rPr>
                <w:rFonts w:ascii="Arial" w:hAnsi="Arial" w:cs="Arial"/>
                <w:b/>
                <w:bCs/>
                <w:sz w:val="14"/>
                <w:szCs w:val="14"/>
              </w:rPr>
            </w:pPr>
            <w:r w:rsidRPr="00565830">
              <w:rPr>
                <w:rFonts w:ascii="Arial" w:hAnsi="Arial" w:cs="Arial"/>
                <w:b/>
                <w:bCs/>
                <w:sz w:val="14"/>
                <w:szCs w:val="14"/>
              </w:rPr>
              <w:t> </w:t>
            </w:r>
          </w:p>
        </w:tc>
        <w:tc>
          <w:tcPr>
            <w:tcW w:w="1134" w:type="dxa"/>
            <w:gridSpan w:val="3"/>
            <w:shd w:val="clear" w:color="auto" w:fill="D9D9D9" w:themeFill="background1" w:themeFillShade="D9"/>
            <w:vAlign w:val="center"/>
            <w:hideMark/>
          </w:tcPr>
          <w:p w14:paraId="0DDA44D4" w14:textId="77777777" w:rsidR="00F35C13" w:rsidRPr="00565830" w:rsidRDefault="00F35C13" w:rsidP="00CC56D2">
            <w:pPr>
              <w:jc w:val="center"/>
              <w:rPr>
                <w:rFonts w:ascii="Arial" w:hAnsi="Arial" w:cs="Arial"/>
                <w:b/>
                <w:bCs/>
                <w:sz w:val="14"/>
                <w:szCs w:val="14"/>
              </w:rPr>
            </w:pPr>
            <w:r w:rsidRPr="00565830">
              <w:rPr>
                <w:rFonts w:ascii="Arial" w:hAnsi="Arial" w:cs="Arial"/>
                <w:b/>
                <w:bCs/>
                <w:sz w:val="14"/>
                <w:szCs w:val="14"/>
              </w:rPr>
              <w:t>Meta anual</w:t>
            </w:r>
          </w:p>
        </w:tc>
        <w:tc>
          <w:tcPr>
            <w:tcW w:w="1049" w:type="dxa"/>
            <w:gridSpan w:val="3"/>
            <w:shd w:val="clear" w:color="auto" w:fill="D9D9D9" w:themeFill="background1" w:themeFillShade="D9"/>
            <w:vAlign w:val="center"/>
            <w:hideMark/>
          </w:tcPr>
          <w:p w14:paraId="098F41B3" w14:textId="77777777" w:rsidR="00F35C13" w:rsidRPr="00565830" w:rsidRDefault="00F35C13" w:rsidP="00CC56D2">
            <w:pPr>
              <w:jc w:val="center"/>
              <w:rPr>
                <w:rFonts w:ascii="Arial" w:hAnsi="Arial" w:cs="Arial"/>
                <w:b/>
                <w:bCs/>
                <w:sz w:val="14"/>
                <w:szCs w:val="14"/>
              </w:rPr>
            </w:pPr>
            <w:r w:rsidRPr="00565830">
              <w:rPr>
                <w:rFonts w:ascii="Arial" w:hAnsi="Arial" w:cs="Arial"/>
                <w:b/>
                <w:bCs/>
                <w:sz w:val="14"/>
                <w:szCs w:val="14"/>
              </w:rPr>
              <w:t>Ejercicio</w:t>
            </w:r>
          </w:p>
        </w:tc>
        <w:tc>
          <w:tcPr>
            <w:tcW w:w="1095" w:type="dxa"/>
            <w:shd w:val="clear" w:color="auto" w:fill="D9D9D9" w:themeFill="background1" w:themeFillShade="D9"/>
            <w:vAlign w:val="center"/>
            <w:hideMark/>
          </w:tcPr>
          <w:p w14:paraId="57D82AD8" w14:textId="77777777" w:rsidR="00F35C13" w:rsidRPr="00565830" w:rsidRDefault="00F35C13" w:rsidP="00CC56D2">
            <w:pPr>
              <w:jc w:val="center"/>
              <w:rPr>
                <w:rFonts w:ascii="Arial" w:hAnsi="Arial" w:cs="Arial"/>
                <w:b/>
                <w:bCs/>
                <w:sz w:val="14"/>
                <w:szCs w:val="14"/>
              </w:rPr>
            </w:pPr>
            <w:r w:rsidRPr="00565830">
              <w:rPr>
                <w:rFonts w:ascii="Arial" w:hAnsi="Arial" w:cs="Arial"/>
                <w:b/>
                <w:bCs/>
                <w:sz w:val="14"/>
                <w:szCs w:val="14"/>
              </w:rPr>
              <w:t>Avance %</w:t>
            </w:r>
          </w:p>
        </w:tc>
      </w:tr>
      <w:tr w:rsidR="00F35C13" w:rsidRPr="00565830" w14:paraId="5D90D429" w14:textId="77777777" w:rsidTr="00CC56D2">
        <w:trPr>
          <w:trHeight w:val="525"/>
        </w:trPr>
        <w:tc>
          <w:tcPr>
            <w:tcW w:w="1063" w:type="dxa"/>
            <w:shd w:val="clear" w:color="auto" w:fill="000000" w:themeFill="text1"/>
            <w:noWrap/>
            <w:vAlign w:val="center"/>
            <w:hideMark/>
          </w:tcPr>
          <w:p w14:paraId="19F23372" w14:textId="77777777" w:rsidR="00F35C13" w:rsidRPr="00565830" w:rsidRDefault="00F35C13" w:rsidP="00CC56D2">
            <w:pPr>
              <w:rPr>
                <w:rFonts w:ascii="Arial" w:hAnsi="Arial" w:cs="Arial"/>
                <w:b/>
                <w:bCs/>
                <w:sz w:val="14"/>
                <w:szCs w:val="14"/>
              </w:rPr>
            </w:pPr>
            <w:r w:rsidRPr="00565830">
              <w:rPr>
                <w:rFonts w:ascii="Arial" w:hAnsi="Arial" w:cs="Arial"/>
                <w:b/>
                <w:bCs/>
                <w:sz w:val="14"/>
                <w:szCs w:val="14"/>
              </w:rPr>
              <w:t> </w:t>
            </w:r>
          </w:p>
        </w:tc>
        <w:tc>
          <w:tcPr>
            <w:tcW w:w="472" w:type="dxa"/>
            <w:gridSpan w:val="2"/>
            <w:shd w:val="clear" w:color="auto" w:fill="000000" w:themeFill="text1"/>
            <w:noWrap/>
            <w:vAlign w:val="center"/>
            <w:hideMark/>
          </w:tcPr>
          <w:p w14:paraId="7BAC68FD" w14:textId="77777777" w:rsidR="00F35C13" w:rsidRPr="00565830" w:rsidRDefault="00F35C13" w:rsidP="00CC56D2">
            <w:pPr>
              <w:rPr>
                <w:rFonts w:ascii="Arial" w:hAnsi="Arial" w:cs="Arial"/>
                <w:sz w:val="14"/>
                <w:szCs w:val="14"/>
              </w:rPr>
            </w:pPr>
            <w:r w:rsidRPr="00565830">
              <w:rPr>
                <w:rFonts w:ascii="Arial" w:hAnsi="Arial" w:cs="Arial"/>
                <w:sz w:val="14"/>
                <w:szCs w:val="14"/>
              </w:rPr>
              <w:t> </w:t>
            </w:r>
          </w:p>
        </w:tc>
        <w:tc>
          <w:tcPr>
            <w:tcW w:w="1072" w:type="dxa"/>
            <w:gridSpan w:val="3"/>
            <w:shd w:val="clear" w:color="auto" w:fill="000000" w:themeFill="text1"/>
            <w:noWrap/>
            <w:vAlign w:val="center"/>
            <w:hideMark/>
          </w:tcPr>
          <w:p w14:paraId="2044A42E" w14:textId="77777777" w:rsidR="00F35C13" w:rsidRPr="00565830" w:rsidRDefault="00F35C13" w:rsidP="00CC56D2">
            <w:pPr>
              <w:rPr>
                <w:rFonts w:ascii="Arial" w:hAnsi="Arial" w:cs="Arial"/>
                <w:sz w:val="14"/>
                <w:szCs w:val="14"/>
              </w:rPr>
            </w:pPr>
            <w:r w:rsidRPr="00565830">
              <w:rPr>
                <w:rFonts w:ascii="Arial" w:hAnsi="Arial" w:cs="Arial"/>
                <w:sz w:val="14"/>
                <w:szCs w:val="14"/>
              </w:rPr>
              <w:t> </w:t>
            </w:r>
          </w:p>
        </w:tc>
        <w:tc>
          <w:tcPr>
            <w:tcW w:w="306" w:type="dxa"/>
            <w:shd w:val="clear" w:color="auto" w:fill="000000" w:themeFill="text1"/>
            <w:noWrap/>
            <w:vAlign w:val="center"/>
            <w:hideMark/>
          </w:tcPr>
          <w:p w14:paraId="045B2C57" w14:textId="77777777" w:rsidR="00F35C13" w:rsidRPr="00565830" w:rsidRDefault="00F35C13" w:rsidP="00CC56D2">
            <w:pPr>
              <w:rPr>
                <w:rFonts w:ascii="Arial" w:hAnsi="Arial" w:cs="Arial"/>
                <w:sz w:val="14"/>
                <w:szCs w:val="14"/>
              </w:rPr>
            </w:pPr>
            <w:r w:rsidRPr="00565830">
              <w:rPr>
                <w:rFonts w:ascii="Arial" w:hAnsi="Arial" w:cs="Arial"/>
                <w:sz w:val="14"/>
                <w:szCs w:val="14"/>
              </w:rPr>
              <w:t> </w:t>
            </w:r>
          </w:p>
        </w:tc>
        <w:tc>
          <w:tcPr>
            <w:tcW w:w="387" w:type="dxa"/>
            <w:gridSpan w:val="2"/>
            <w:shd w:val="clear" w:color="auto" w:fill="000000" w:themeFill="text1"/>
            <w:noWrap/>
            <w:vAlign w:val="center"/>
            <w:hideMark/>
          </w:tcPr>
          <w:p w14:paraId="38C0BEDA" w14:textId="77777777" w:rsidR="00F35C13" w:rsidRPr="00565830" w:rsidRDefault="00F35C13" w:rsidP="00CC56D2">
            <w:pPr>
              <w:rPr>
                <w:rFonts w:ascii="Arial" w:hAnsi="Arial" w:cs="Arial"/>
                <w:sz w:val="14"/>
                <w:szCs w:val="14"/>
              </w:rPr>
            </w:pPr>
            <w:r w:rsidRPr="00565830">
              <w:rPr>
                <w:rFonts w:ascii="Arial" w:hAnsi="Arial" w:cs="Arial"/>
                <w:sz w:val="14"/>
                <w:szCs w:val="14"/>
              </w:rPr>
              <w:t> </w:t>
            </w:r>
          </w:p>
        </w:tc>
        <w:tc>
          <w:tcPr>
            <w:tcW w:w="242" w:type="dxa"/>
            <w:shd w:val="clear" w:color="auto" w:fill="000000" w:themeFill="text1"/>
            <w:noWrap/>
            <w:vAlign w:val="center"/>
            <w:hideMark/>
          </w:tcPr>
          <w:p w14:paraId="55668257" w14:textId="77777777" w:rsidR="00F35C13" w:rsidRPr="00565830" w:rsidRDefault="00F35C13" w:rsidP="00CC56D2">
            <w:pPr>
              <w:rPr>
                <w:rFonts w:ascii="Arial" w:hAnsi="Arial" w:cs="Arial"/>
                <w:sz w:val="14"/>
                <w:szCs w:val="14"/>
              </w:rPr>
            </w:pPr>
            <w:r w:rsidRPr="00565830">
              <w:rPr>
                <w:rFonts w:ascii="Arial" w:hAnsi="Arial" w:cs="Arial"/>
                <w:sz w:val="14"/>
                <w:szCs w:val="14"/>
              </w:rPr>
              <w:t> </w:t>
            </w:r>
          </w:p>
        </w:tc>
        <w:tc>
          <w:tcPr>
            <w:tcW w:w="250" w:type="dxa"/>
            <w:shd w:val="clear" w:color="auto" w:fill="000000" w:themeFill="text1"/>
            <w:vAlign w:val="center"/>
            <w:hideMark/>
          </w:tcPr>
          <w:p w14:paraId="58A338F1" w14:textId="77777777" w:rsidR="00F35C13" w:rsidRPr="00565830" w:rsidRDefault="00F35C13" w:rsidP="00CC56D2">
            <w:pPr>
              <w:rPr>
                <w:rFonts w:ascii="Arial" w:hAnsi="Arial" w:cs="Arial"/>
                <w:sz w:val="14"/>
                <w:szCs w:val="14"/>
              </w:rPr>
            </w:pPr>
            <w:r w:rsidRPr="00565830">
              <w:rPr>
                <w:rFonts w:ascii="Arial" w:hAnsi="Arial" w:cs="Arial"/>
                <w:sz w:val="14"/>
                <w:szCs w:val="14"/>
              </w:rPr>
              <w:t> </w:t>
            </w:r>
          </w:p>
        </w:tc>
        <w:tc>
          <w:tcPr>
            <w:tcW w:w="525" w:type="dxa"/>
            <w:gridSpan w:val="2"/>
            <w:shd w:val="clear" w:color="auto" w:fill="000000" w:themeFill="text1"/>
            <w:vAlign w:val="center"/>
            <w:hideMark/>
          </w:tcPr>
          <w:p w14:paraId="08CC60A1" w14:textId="77777777" w:rsidR="00F35C13" w:rsidRPr="00565830" w:rsidRDefault="00F35C13" w:rsidP="00CC56D2">
            <w:pPr>
              <w:rPr>
                <w:rFonts w:ascii="Arial" w:hAnsi="Arial" w:cs="Arial"/>
                <w:sz w:val="14"/>
                <w:szCs w:val="14"/>
              </w:rPr>
            </w:pPr>
            <w:r w:rsidRPr="00565830">
              <w:rPr>
                <w:rFonts w:ascii="Arial" w:hAnsi="Arial" w:cs="Arial"/>
                <w:sz w:val="14"/>
                <w:szCs w:val="14"/>
              </w:rPr>
              <w:t> </w:t>
            </w:r>
          </w:p>
        </w:tc>
        <w:tc>
          <w:tcPr>
            <w:tcW w:w="599" w:type="dxa"/>
            <w:shd w:val="clear" w:color="auto" w:fill="000000" w:themeFill="text1"/>
            <w:vAlign w:val="center"/>
            <w:hideMark/>
          </w:tcPr>
          <w:p w14:paraId="23A3A342" w14:textId="77777777" w:rsidR="00F35C13" w:rsidRPr="00565830" w:rsidRDefault="00F35C13" w:rsidP="00CC56D2">
            <w:pPr>
              <w:rPr>
                <w:rFonts w:ascii="Arial" w:hAnsi="Arial" w:cs="Arial"/>
                <w:sz w:val="14"/>
                <w:szCs w:val="14"/>
              </w:rPr>
            </w:pPr>
            <w:r w:rsidRPr="00565830">
              <w:rPr>
                <w:rFonts w:ascii="Arial" w:hAnsi="Arial" w:cs="Arial"/>
                <w:sz w:val="14"/>
                <w:szCs w:val="14"/>
              </w:rPr>
              <w:t> </w:t>
            </w:r>
          </w:p>
        </w:tc>
        <w:tc>
          <w:tcPr>
            <w:tcW w:w="705" w:type="dxa"/>
            <w:gridSpan w:val="3"/>
            <w:shd w:val="clear" w:color="auto" w:fill="000000" w:themeFill="text1"/>
            <w:vAlign w:val="center"/>
            <w:hideMark/>
          </w:tcPr>
          <w:p w14:paraId="57BAD93E" w14:textId="77777777" w:rsidR="00F35C13" w:rsidRPr="00565830" w:rsidRDefault="00F35C13" w:rsidP="00CC56D2">
            <w:pPr>
              <w:rPr>
                <w:rFonts w:ascii="Arial" w:hAnsi="Arial" w:cs="Arial"/>
                <w:sz w:val="14"/>
                <w:szCs w:val="14"/>
              </w:rPr>
            </w:pPr>
            <w:r w:rsidRPr="00565830">
              <w:rPr>
                <w:rFonts w:ascii="Arial" w:hAnsi="Arial" w:cs="Arial"/>
                <w:sz w:val="14"/>
                <w:szCs w:val="14"/>
              </w:rPr>
              <w:t> </w:t>
            </w:r>
          </w:p>
        </w:tc>
        <w:tc>
          <w:tcPr>
            <w:tcW w:w="582" w:type="dxa"/>
            <w:shd w:val="clear" w:color="auto" w:fill="000000" w:themeFill="text1"/>
            <w:vAlign w:val="center"/>
            <w:hideMark/>
          </w:tcPr>
          <w:p w14:paraId="362CF731" w14:textId="77777777" w:rsidR="00F35C13" w:rsidRPr="00565830" w:rsidRDefault="00F35C13" w:rsidP="00CC56D2">
            <w:pPr>
              <w:rPr>
                <w:rFonts w:ascii="Arial" w:hAnsi="Arial" w:cs="Arial"/>
                <w:sz w:val="14"/>
                <w:szCs w:val="14"/>
              </w:rPr>
            </w:pPr>
            <w:r w:rsidRPr="00565830">
              <w:rPr>
                <w:rFonts w:ascii="Arial" w:hAnsi="Arial" w:cs="Arial"/>
                <w:sz w:val="14"/>
                <w:szCs w:val="14"/>
              </w:rPr>
              <w:t> </w:t>
            </w:r>
          </w:p>
        </w:tc>
        <w:tc>
          <w:tcPr>
            <w:tcW w:w="493" w:type="dxa"/>
            <w:shd w:val="clear" w:color="auto" w:fill="000000" w:themeFill="text1"/>
            <w:vAlign w:val="center"/>
            <w:hideMark/>
          </w:tcPr>
          <w:p w14:paraId="7613DA34" w14:textId="77777777" w:rsidR="00F35C13" w:rsidRPr="00565830" w:rsidRDefault="00F35C13" w:rsidP="00CC56D2">
            <w:pPr>
              <w:rPr>
                <w:rFonts w:ascii="Arial" w:hAnsi="Arial" w:cs="Arial"/>
                <w:sz w:val="14"/>
                <w:szCs w:val="14"/>
              </w:rPr>
            </w:pPr>
            <w:r w:rsidRPr="00565830">
              <w:rPr>
                <w:rFonts w:ascii="Arial" w:hAnsi="Arial" w:cs="Arial"/>
                <w:sz w:val="14"/>
                <w:szCs w:val="14"/>
              </w:rPr>
              <w:t> </w:t>
            </w:r>
          </w:p>
        </w:tc>
        <w:tc>
          <w:tcPr>
            <w:tcW w:w="531" w:type="dxa"/>
            <w:gridSpan w:val="2"/>
            <w:shd w:val="clear" w:color="auto" w:fill="000000" w:themeFill="text1"/>
            <w:vAlign w:val="center"/>
            <w:hideMark/>
          </w:tcPr>
          <w:p w14:paraId="72A70110" w14:textId="77777777" w:rsidR="00F35C13" w:rsidRPr="00565830" w:rsidRDefault="00F35C13" w:rsidP="00CC56D2">
            <w:pPr>
              <w:rPr>
                <w:rFonts w:ascii="Arial" w:hAnsi="Arial" w:cs="Arial"/>
                <w:sz w:val="14"/>
                <w:szCs w:val="14"/>
              </w:rPr>
            </w:pPr>
            <w:r w:rsidRPr="00565830">
              <w:rPr>
                <w:rFonts w:ascii="Arial" w:hAnsi="Arial" w:cs="Arial"/>
                <w:sz w:val="14"/>
                <w:szCs w:val="14"/>
              </w:rPr>
              <w:t> </w:t>
            </w:r>
          </w:p>
        </w:tc>
        <w:tc>
          <w:tcPr>
            <w:tcW w:w="811" w:type="dxa"/>
            <w:shd w:val="clear" w:color="auto" w:fill="000000" w:themeFill="text1"/>
            <w:vAlign w:val="center"/>
            <w:hideMark/>
          </w:tcPr>
          <w:p w14:paraId="0BE0AC8A" w14:textId="77777777" w:rsidR="00F35C13" w:rsidRPr="00565830" w:rsidRDefault="00F35C13" w:rsidP="00CC56D2">
            <w:pPr>
              <w:rPr>
                <w:rFonts w:ascii="Arial" w:hAnsi="Arial" w:cs="Arial"/>
                <w:sz w:val="14"/>
                <w:szCs w:val="14"/>
              </w:rPr>
            </w:pPr>
            <w:r w:rsidRPr="00565830">
              <w:rPr>
                <w:rFonts w:ascii="Arial" w:hAnsi="Arial" w:cs="Arial"/>
                <w:sz w:val="14"/>
                <w:szCs w:val="14"/>
              </w:rPr>
              <w:t> </w:t>
            </w:r>
          </w:p>
        </w:tc>
        <w:tc>
          <w:tcPr>
            <w:tcW w:w="948" w:type="dxa"/>
            <w:gridSpan w:val="3"/>
            <w:shd w:val="clear" w:color="auto" w:fill="000000" w:themeFill="text1"/>
            <w:vAlign w:val="center"/>
            <w:hideMark/>
          </w:tcPr>
          <w:p w14:paraId="4547E8FF" w14:textId="77777777" w:rsidR="00F35C13" w:rsidRPr="00565830" w:rsidRDefault="00F35C13" w:rsidP="00CC56D2">
            <w:pPr>
              <w:rPr>
                <w:rFonts w:ascii="Arial" w:hAnsi="Arial" w:cs="Arial"/>
                <w:sz w:val="14"/>
                <w:szCs w:val="14"/>
              </w:rPr>
            </w:pPr>
            <w:r w:rsidRPr="00565830">
              <w:rPr>
                <w:rFonts w:ascii="Arial" w:hAnsi="Arial" w:cs="Arial"/>
                <w:sz w:val="14"/>
                <w:szCs w:val="14"/>
              </w:rPr>
              <w:t> </w:t>
            </w:r>
          </w:p>
        </w:tc>
        <w:tc>
          <w:tcPr>
            <w:tcW w:w="874" w:type="dxa"/>
            <w:gridSpan w:val="2"/>
            <w:shd w:val="clear" w:color="auto" w:fill="000000" w:themeFill="text1"/>
            <w:vAlign w:val="center"/>
            <w:hideMark/>
          </w:tcPr>
          <w:p w14:paraId="72C267AF" w14:textId="77777777" w:rsidR="00F35C13" w:rsidRPr="00565830" w:rsidRDefault="00F35C13" w:rsidP="00CC56D2">
            <w:pPr>
              <w:rPr>
                <w:rFonts w:ascii="Arial" w:hAnsi="Arial" w:cs="Arial"/>
                <w:sz w:val="14"/>
                <w:szCs w:val="14"/>
              </w:rPr>
            </w:pPr>
            <w:r w:rsidRPr="00565830">
              <w:rPr>
                <w:rFonts w:ascii="Arial" w:hAnsi="Arial" w:cs="Arial"/>
                <w:sz w:val="14"/>
                <w:szCs w:val="14"/>
              </w:rPr>
              <w:t> </w:t>
            </w:r>
          </w:p>
        </w:tc>
        <w:tc>
          <w:tcPr>
            <w:tcW w:w="260" w:type="dxa"/>
            <w:shd w:val="clear" w:color="auto" w:fill="000000" w:themeFill="text1"/>
            <w:vAlign w:val="center"/>
            <w:hideMark/>
          </w:tcPr>
          <w:p w14:paraId="271097BE" w14:textId="77777777" w:rsidR="00F35C13" w:rsidRPr="00565830" w:rsidRDefault="00F35C13" w:rsidP="00CC56D2">
            <w:pPr>
              <w:rPr>
                <w:rFonts w:ascii="Arial" w:hAnsi="Arial" w:cs="Arial"/>
                <w:sz w:val="14"/>
                <w:szCs w:val="14"/>
              </w:rPr>
            </w:pPr>
            <w:r w:rsidRPr="00565830">
              <w:rPr>
                <w:rFonts w:ascii="Arial" w:hAnsi="Arial" w:cs="Arial"/>
                <w:sz w:val="14"/>
                <w:szCs w:val="14"/>
              </w:rPr>
              <w:t> </w:t>
            </w:r>
          </w:p>
        </w:tc>
        <w:tc>
          <w:tcPr>
            <w:tcW w:w="1134" w:type="dxa"/>
            <w:gridSpan w:val="3"/>
            <w:shd w:val="clear" w:color="auto" w:fill="D9D9D9" w:themeFill="background1" w:themeFillShade="D9"/>
            <w:vAlign w:val="center"/>
            <w:hideMark/>
          </w:tcPr>
          <w:p w14:paraId="429A0E8B" w14:textId="77777777" w:rsidR="00F35C13" w:rsidRPr="00565830" w:rsidRDefault="00F35C13" w:rsidP="00CC56D2">
            <w:pPr>
              <w:jc w:val="center"/>
              <w:rPr>
                <w:rFonts w:ascii="Arial" w:hAnsi="Arial" w:cs="Arial"/>
                <w:b/>
                <w:bCs/>
                <w:sz w:val="14"/>
                <w:szCs w:val="14"/>
              </w:rPr>
            </w:pPr>
            <w:r w:rsidRPr="00565830">
              <w:rPr>
                <w:rFonts w:ascii="Arial" w:hAnsi="Arial" w:cs="Arial"/>
                <w:b/>
                <w:bCs/>
                <w:sz w:val="14"/>
                <w:szCs w:val="14"/>
              </w:rPr>
              <w:t>Millones de pesos</w:t>
            </w:r>
          </w:p>
        </w:tc>
        <w:tc>
          <w:tcPr>
            <w:tcW w:w="1049" w:type="dxa"/>
            <w:gridSpan w:val="3"/>
            <w:shd w:val="clear" w:color="auto" w:fill="D9D9D9" w:themeFill="background1" w:themeFillShade="D9"/>
            <w:vAlign w:val="center"/>
            <w:hideMark/>
          </w:tcPr>
          <w:p w14:paraId="2B2CBF04" w14:textId="77777777" w:rsidR="00F35C13" w:rsidRPr="00565830" w:rsidRDefault="00F35C13" w:rsidP="00CC56D2">
            <w:pPr>
              <w:jc w:val="center"/>
              <w:rPr>
                <w:rFonts w:ascii="Arial" w:hAnsi="Arial" w:cs="Arial"/>
                <w:b/>
                <w:bCs/>
                <w:sz w:val="14"/>
                <w:szCs w:val="14"/>
              </w:rPr>
            </w:pPr>
            <w:r w:rsidRPr="00565830">
              <w:rPr>
                <w:rFonts w:ascii="Arial" w:hAnsi="Arial" w:cs="Arial"/>
                <w:b/>
                <w:bCs/>
                <w:sz w:val="14"/>
                <w:szCs w:val="14"/>
              </w:rPr>
              <w:t>Millones de pesos</w:t>
            </w:r>
          </w:p>
        </w:tc>
        <w:tc>
          <w:tcPr>
            <w:tcW w:w="1095" w:type="dxa"/>
            <w:shd w:val="clear" w:color="auto" w:fill="D9D9D9" w:themeFill="background1" w:themeFillShade="D9"/>
            <w:vAlign w:val="center"/>
            <w:hideMark/>
          </w:tcPr>
          <w:p w14:paraId="6EA8D218" w14:textId="77777777" w:rsidR="00F35C13" w:rsidRPr="00565830" w:rsidRDefault="00F35C13" w:rsidP="00CC56D2">
            <w:pPr>
              <w:jc w:val="center"/>
              <w:rPr>
                <w:rFonts w:ascii="Arial" w:hAnsi="Arial" w:cs="Arial"/>
                <w:b/>
                <w:bCs/>
                <w:sz w:val="14"/>
                <w:szCs w:val="14"/>
              </w:rPr>
            </w:pPr>
            <w:r w:rsidRPr="00565830">
              <w:rPr>
                <w:rFonts w:ascii="Arial" w:hAnsi="Arial" w:cs="Arial"/>
                <w:b/>
                <w:bCs/>
                <w:sz w:val="14"/>
                <w:szCs w:val="14"/>
              </w:rPr>
              <w:t>Anual</w:t>
            </w:r>
          </w:p>
        </w:tc>
      </w:tr>
      <w:tr w:rsidR="00F35C13" w:rsidRPr="00565830" w14:paraId="5794E94E" w14:textId="77777777" w:rsidTr="00CC56D2">
        <w:trPr>
          <w:trHeight w:val="270"/>
        </w:trPr>
        <w:tc>
          <w:tcPr>
            <w:tcW w:w="2607" w:type="dxa"/>
            <w:gridSpan w:val="6"/>
            <w:vAlign w:val="center"/>
            <w:hideMark/>
          </w:tcPr>
          <w:p w14:paraId="18280309" w14:textId="77777777" w:rsidR="00F35C13" w:rsidRPr="00565830" w:rsidRDefault="00F35C13" w:rsidP="00CC56D2">
            <w:pPr>
              <w:rPr>
                <w:rFonts w:ascii="Arial" w:hAnsi="Arial" w:cs="Arial"/>
                <w:b/>
                <w:bCs/>
                <w:sz w:val="14"/>
                <w:szCs w:val="14"/>
              </w:rPr>
            </w:pPr>
            <w:r w:rsidRPr="00565830">
              <w:rPr>
                <w:rFonts w:ascii="Arial" w:hAnsi="Arial" w:cs="Arial"/>
                <w:b/>
                <w:bCs/>
                <w:sz w:val="14"/>
                <w:szCs w:val="14"/>
              </w:rPr>
              <w:t>PRESUPUESTO ORIGINAL</w:t>
            </w:r>
          </w:p>
        </w:tc>
        <w:tc>
          <w:tcPr>
            <w:tcW w:w="306" w:type="dxa"/>
            <w:shd w:val="clear" w:color="auto" w:fill="000000" w:themeFill="text1"/>
            <w:vAlign w:val="center"/>
            <w:hideMark/>
          </w:tcPr>
          <w:p w14:paraId="52093773" w14:textId="77777777" w:rsidR="00F35C13" w:rsidRPr="00565830" w:rsidRDefault="00F35C13" w:rsidP="00CC56D2">
            <w:pPr>
              <w:rPr>
                <w:rFonts w:ascii="Arial" w:hAnsi="Arial" w:cs="Arial"/>
                <w:b/>
                <w:bCs/>
                <w:sz w:val="14"/>
                <w:szCs w:val="14"/>
              </w:rPr>
            </w:pPr>
            <w:r w:rsidRPr="00565830">
              <w:rPr>
                <w:rFonts w:ascii="Arial" w:hAnsi="Arial" w:cs="Arial"/>
                <w:b/>
                <w:bCs/>
                <w:sz w:val="14"/>
                <w:szCs w:val="14"/>
              </w:rPr>
              <w:t> </w:t>
            </w:r>
          </w:p>
        </w:tc>
        <w:tc>
          <w:tcPr>
            <w:tcW w:w="387" w:type="dxa"/>
            <w:gridSpan w:val="2"/>
            <w:shd w:val="clear" w:color="auto" w:fill="000000" w:themeFill="text1"/>
            <w:vAlign w:val="center"/>
            <w:hideMark/>
          </w:tcPr>
          <w:p w14:paraId="46A1260C" w14:textId="77777777" w:rsidR="00F35C13" w:rsidRPr="00565830" w:rsidRDefault="00F35C13" w:rsidP="00CC56D2">
            <w:pPr>
              <w:rPr>
                <w:rFonts w:ascii="Arial" w:hAnsi="Arial" w:cs="Arial"/>
                <w:b/>
                <w:bCs/>
                <w:sz w:val="14"/>
                <w:szCs w:val="14"/>
              </w:rPr>
            </w:pPr>
            <w:r w:rsidRPr="00565830">
              <w:rPr>
                <w:rFonts w:ascii="Arial" w:hAnsi="Arial" w:cs="Arial"/>
                <w:b/>
                <w:bCs/>
                <w:sz w:val="14"/>
                <w:szCs w:val="14"/>
              </w:rPr>
              <w:t> </w:t>
            </w:r>
          </w:p>
        </w:tc>
        <w:tc>
          <w:tcPr>
            <w:tcW w:w="242" w:type="dxa"/>
            <w:shd w:val="clear" w:color="auto" w:fill="000000" w:themeFill="text1"/>
            <w:vAlign w:val="center"/>
            <w:hideMark/>
          </w:tcPr>
          <w:p w14:paraId="2F3D6A16" w14:textId="77777777" w:rsidR="00F35C13" w:rsidRPr="00565830" w:rsidRDefault="00F35C13" w:rsidP="00CC56D2">
            <w:pPr>
              <w:rPr>
                <w:rFonts w:ascii="Arial" w:hAnsi="Arial" w:cs="Arial"/>
                <w:b/>
                <w:bCs/>
                <w:sz w:val="14"/>
                <w:szCs w:val="14"/>
              </w:rPr>
            </w:pPr>
            <w:r w:rsidRPr="00565830">
              <w:rPr>
                <w:rFonts w:ascii="Arial" w:hAnsi="Arial" w:cs="Arial"/>
                <w:b/>
                <w:bCs/>
                <w:sz w:val="14"/>
                <w:szCs w:val="14"/>
              </w:rPr>
              <w:t> </w:t>
            </w:r>
          </w:p>
        </w:tc>
        <w:tc>
          <w:tcPr>
            <w:tcW w:w="250" w:type="dxa"/>
            <w:shd w:val="clear" w:color="auto" w:fill="000000" w:themeFill="text1"/>
            <w:vAlign w:val="center"/>
            <w:hideMark/>
          </w:tcPr>
          <w:p w14:paraId="621B8BA8" w14:textId="77777777" w:rsidR="00F35C13" w:rsidRPr="00565830" w:rsidRDefault="00F35C13" w:rsidP="00CC56D2">
            <w:pPr>
              <w:rPr>
                <w:rFonts w:ascii="Arial" w:hAnsi="Arial" w:cs="Arial"/>
                <w:sz w:val="14"/>
                <w:szCs w:val="14"/>
              </w:rPr>
            </w:pPr>
            <w:r w:rsidRPr="00565830">
              <w:rPr>
                <w:rFonts w:ascii="Arial" w:hAnsi="Arial" w:cs="Arial"/>
                <w:sz w:val="14"/>
                <w:szCs w:val="14"/>
              </w:rPr>
              <w:t> </w:t>
            </w:r>
          </w:p>
        </w:tc>
        <w:tc>
          <w:tcPr>
            <w:tcW w:w="525" w:type="dxa"/>
            <w:gridSpan w:val="2"/>
            <w:shd w:val="clear" w:color="auto" w:fill="000000" w:themeFill="text1"/>
            <w:vAlign w:val="center"/>
            <w:hideMark/>
          </w:tcPr>
          <w:p w14:paraId="55C998AD" w14:textId="77777777" w:rsidR="00F35C13" w:rsidRPr="00565830" w:rsidRDefault="00F35C13" w:rsidP="00CC56D2">
            <w:pPr>
              <w:rPr>
                <w:rFonts w:ascii="Arial" w:hAnsi="Arial" w:cs="Arial"/>
                <w:sz w:val="14"/>
                <w:szCs w:val="14"/>
              </w:rPr>
            </w:pPr>
            <w:r w:rsidRPr="00565830">
              <w:rPr>
                <w:rFonts w:ascii="Arial" w:hAnsi="Arial" w:cs="Arial"/>
                <w:sz w:val="14"/>
                <w:szCs w:val="14"/>
              </w:rPr>
              <w:t> </w:t>
            </w:r>
          </w:p>
        </w:tc>
        <w:tc>
          <w:tcPr>
            <w:tcW w:w="599" w:type="dxa"/>
            <w:shd w:val="clear" w:color="auto" w:fill="000000" w:themeFill="text1"/>
            <w:vAlign w:val="center"/>
            <w:hideMark/>
          </w:tcPr>
          <w:p w14:paraId="31F30D39" w14:textId="77777777" w:rsidR="00F35C13" w:rsidRPr="00565830" w:rsidRDefault="00F35C13" w:rsidP="00CC56D2">
            <w:pPr>
              <w:rPr>
                <w:rFonts w:ascii="Arial" w:hAnsi="Arial" w:cs="Arial"/>
                <w:sz w:val="14"/>
                <w:szCs w:val="14"/>
              </w:rPr>
            </w:pPr>
            <w:r w:rsidRPr="00565830">
              <w:rPr>
                <w:rFonts w:ascii="Arial" w:hAnsi="Arial" w:cs="Arial"/>
                <w:sz w:val="14"/>
                <w:szCs w:val="14"/>
              </w:rPr>
              <w:t> </w:t>
            </w:r>
          </w:p>
        </w:tc>
        <w:tc>
          <w:tcPr>
            <w:tcW w:w="705" w:type="dxa"/>
            <w:gridSpan w:val="3"/>
            <w:shd w:val="clear" w:color="auto" w:fill="000000" w:themeFill="text1"/>
            <w:vAlign w:val="center"/>
            <w:hideMark/>
          </w:tcPr>
          <w:p w14:paraId="544F1E85" w14:textId="77777777" w:rsidR="00F35C13" w:rsidRPr="00565830" w:rsidRDefault="00F35C13" w:rsidP="00CC56D2">
            <w:pPr>
              <w:rPr>
                <w:rFonts w:ascii="Arial" w:hAnsi="Arial" w:cs="Arial"/>
                <w:sz w:val="14"/>
                <w:szCs w:val="14"/>
              </w:rPr>
            </w:pPr>
            <w:r w:rsidRPr="00565830">
              <w:rPr>
                <w:rFonts w:ascii="Arial" w:hAnsi="Arial" w:cs="Arial"/>
                <w:sz w:val="14"/>
                <w:szCs w:val="14"/>
              </w:rPr>
              <w:t> </w:t>
            </w:r>
          </w:p>
        </w:tc>
        <w:tc>
          <w:tcPr>
            <w:tcW w:w="582" w:type="dxa"/>
            <w:shd w:val="clear" w:color="auto" w:fill="000000" w:themeFill="text1"/>
            <w:vAlign w:val="center"/>
            <w:hideMark/>
          </w:tcPr>
          <w:p w14:paraId="7A52B3D9" w14:textId="77777777" w:rsidR="00F35C13" w:rsidRPr="00565830" w:rsidRDefault="00F35C13" w:rsidP="00CC56D2">
            <w:pPr>
              <w:rPr>
                <w:rFonts w:ascii="Arial" w:hAnsi="Arial" w:cs="Arial"/>
                <w:sz w:val="14"/>
                <w:szCs w:val="14"/>
              </w:rPr>
            </w:pPr>
            <w:r w:rsidRPr="00565830">
              <w:rPr>
                <w:rFonts w:ascii="Arial" w:hAnsi="Arial" w:cs="Arial"/>
                <w:sz w:val="14"/>
                <w:szCs w:val="14"/>
              </w:rPr>
              <w:t> </w:t>
            </w:r>
          </w:p>
        </w:tc>
        <w:tc>
          <w:tcPr>
            <w:tcW w:w="493" w:type="dxa"/>
            <w:shd w:val="clear" w:color="auto" w:fill="000000" w:themeFill="text1"/>
            <w:vAlign w:val="center"/>
            <w:hideMark/>
          </w:tcPr>
          <w:p w14:paraId="51CA7C60" w14:textId="77777777" w:rsidR="00F35C13" w:rsidRPr="00565830" w:rsidRDefault="00F35C13" w:rsidP="00CC56D2">
            <w:pPr>
              <w:rPr>
                <w:rFonts w:ascii="Arial" w:hAnsi="Arial" w:cs="Arial"/>
                <w:sz w:val="14"/>
                <w:szCs w:val="14"/>
              </w:rPr>
            </w:pPr>
            <w:r w:rsidRPr="00565830">
              <w:rPr>
                <w:rFonts w:ascii="Arial" w:hAnsi="Arial" w:cs="Arial"/>
                <w:sz w:val="14"/>
                <w:szCs w:val="14"/>
              </w:rPr>
              <w:t> </w:t>
            </w:r>
          </w:p>
        </w:tc>
        <w:tc>
          <w:tcPr>
            <w:tcW w:w="531" w:type="dxa"/>
            <w:gridSpan w:val="2"/>
            <w:shd w:val="clear" w:color="auto" w:fill="000000" w:themeFill="text1"/>
            <w:vAlign w:val="center"/>
            <w:hideMark/>
          </w:tcPr>
          <w:p w14:paraId="6012421E" w14:textId="77777777" w:rsidR="00F35C13" w:rsidRPr="00565830" w:rsidRDefault="00F35C13" w:rsidP="00CC56D2">
            <w:pPr>
              <w:rPr>
                <w:rFonts w:ascii="Arial" w:hAnsi="Arial" w:cs="Arial"/>
                <w:sz w:val="14"/>
                <w:szCs w:val="14"/>
              </w:rPr>
            </w:pPr>
            <w:r w:rsidRPr="00565830">
              <w:rPr>
                <w:rFonts w:ascii="Arial" w:hAnsi="Arial" w:cs="Arial"/>
                <w:sz w:val="14"/>
                <w:szCs w:val="14"/>
              </w:rPr>
              <w:t> </w:t>
            </w:r>
          </w:p>
        </w:tc>
        <w:tc>
          <w:tcPr>
            <w:tcW w:w="811" w:type="dxa"/>
            <w:shd w:val="clear" w:color="auto" w:fill="000000" w:themeFill="text1"/>
            <w:vAlign w:val="center"/>
            <w:hideMark/>
          </w:tcPr>
          <w:p w14:paraId="377F7189" w14:textId="77777777" w:rsidR="00F35C13" w:rsidRPr="00565830" w:rsidRDefault="00F35C13" w:rsidP="00CC56D2">
            <w:pPr>
              <w:rPr>
                <w:rFonts w:ascii="Arial" w:hAnsi="Arial" w:cs="Arial"/>
                <w:sz w:val="14"/>
                <w:szCs w:val="14"/>
              </w:rPr>
            </w:pPr>
            <w:r w:rsidRPr="00565830">
              <w:rPr>
                <w:rFonts w:ascii="Arial" w:hAnsi="Arial" w:cs="Arial"/>
                <w:sz w:val="14"/>
                <w:szCs w:val="14"/>
              </w:rPr>
              <w:t> </w:t>
            </w:r>
          </w:p>
        </w:tc>
        <w:tc>
          <w:tcPr>
            <w:tcW w:w="948" w:type="dxa"/>
            <w:gridSpan w:val="3"/>
            <w:shd w:val="clear" w:color="auto" w:fill="000000" w:themeFill="text1"/>
            <w:vAlign w:val="center"/>
            <w:hideMark/>
          </w:tcPr>
          <w:p w14:paraId="2F33592E" w14:textId="77777777" w:rsidR="00F35C13" w:rsidRPr="00565830" w:rsidRDefault="00F35C13" w:rsidP="00CC56D2">
            <w:pPr>
              <w:rPr>
                <w:rFonts w:ascii="Arial" w:hAnsi="Arial" w:cs="Arial"/>
                <w:sz w:val="14"/>
                <w:szCs w:val="14"/>
              </w:rPr>
            </w:pPr>
            <w:r w:rsidRPr="00565830">
              <w:rPr>
                <w:rFonts w:ascii="Arial" w:hAnsi="Arial" w:cs="Arial"/>
                <w:sz w:val="14"/>
                <w:szCs w:val="14"/>
              </w:rPr>
              <w:t> </w:t>
            </w:r>
          </w:p>
        </w:tc>
        <w:tc>
          <w:tcPr>
            <w:tcW w:w="874" w:type="dxa"/>
            <w:gridSpan w:val="2"/>
            <w:shd w:val="clear" w:color="auto" w:fill="000000" w:themeFill="text1"/>
            <w:vAlign w:val="center"/>
            <w:hideMark/>
          </w:tcPr>
          <w:p w14:paraId="5FF10D54" w14:textId="77777777" w:rsidR="00F35C13" w:rsidRPr="00565830" w:rsidRDefault="00F35C13" w:rsidP="00CC56D2">
            <w:pPr>
              <w:rPr>
                <w:rFonts w:ascii="Arial" w:hAnsi="Arial" w:cs="Arial"/>
                <w:sz w:val="14"/>
                <w:szCs w:val="14"/>
              </w:rPr>
            </w:pPr>
            <w:r w:rsidRPr="00565830">
              <w:rPr>
                <w:rFonts w:ascii="Arial" w:hAnsi="Arial" w:cs="Arial"/>
                <w:sz w:val="14"/>
                <w:szCs w:val="14"/>
              </w:rPr>
              <w:t> </w:t>
            </w:r>
          </w:p>
        </w:tc>
        <w:tc>
          <w:tcPr>
            <w:tcW w:w="260" w:type="dxa"/>
            <w:shd w:val="clear" w:color="auto" w:fill="000000" w:themeFill="text1"/>
            <w:vAlign w:val="center"/>
            <w:hideMark/>
          </w:tcPr>
          <w:p w14:paraId="3D9944A1" w14:textId="77777777" w:rsidR="00F35C13" w:rsidRPr="00565830" w:rsidRDefault="00F35C13" w:rsidP="00CC56D2">
            <w:pPr>
              <w:rPr>
                <w:rFonts w:ascii="Arial" w:hAnsi="Arial" w:cs="Arial"/>
                <w:sz w:val="14"/>
                <w:szCs w:val="14"/>
              </w:rPr>
            </w:pPr>
            <w:r w:rsidRPr="00565830">
              <w:rPr>
                <w:rFonts w:ascii="Arial" w:hAnsi="Arial" w:cs="Arial"/>
                <w:sz w:val="14"/>
                <w:szCs w:val="14"/>
              </w:rPr>
              <w:t> </w:t>
            </w:r>
          </w:p>
        </w:tc>
        <w:tc>
          <w:tcPr>
            <w:tcW w:w="1134" w:type="dxa"/>
            <w:gridSpan w:val="3"/>
            <w:shd w:val="clear" w:color="auto" w:fill="D9D9D9" w:themeFill="background1" w:themeFillShade="D9"/>
            <w:vAlign w:val="center"/>
            <w:hideMark/>
          </w:tcPr>
          <w:p w14:paraId="3BEAAAA8" w14:textId="77777777" w:rsidR="00F35C13" w:rsidRPr="00565830" w:rsidRDefault="00F35C13" w:rsidP="00CC56D2">
            <w:pPr>
              <w:jc w:val="center"/>
              <w:rPr>
                <w:rFonts w:ascii="Arial" w:hAnsi="Arial" w:cs="Arial"/>
                <w:sz w:val="14"/>
                <w:szCs w:val="14"/>
              </w:rPr>
            </w:pPr>
            <w:r w:rsidRPr="00565830">
              <w:rPr>
                <w:rFonts w:ascii="Arial" w:hAnsi="Arial" w:cs="Arial"/>
                <w:sz w:val="14"/>
                <w:szCs w:val="14"/>
              </w:rPr>
              <w:t>N/D</w:t>
            </w:r>
          </w:p>
        </w:tc>
        <w:tc>
          <w:tcPr>
            <w:tcW w:w="1049" w:type="dxa"/>
            <w:gridSpan w:val="3"/>
            <w:shd w:val="clear" w:color="auto" w:fill="D9D9D9" w:themeFill="background1" w:themeFillShade="D9"/>
            <w:vAlign w:val="center"/>
            <w:hideMark/>
          </w:tcPr>
          <w:p w14:paraId="34A1C487" w14:textId="77777777" w:rsidR="00F35C13" w:rsidRPr="00565830" w:rsidRDefault="00F35C13" w:rsidP="00CC56D2">
            <w:pPr>
              <w:jc w:val="center"/>
              <w:rPr>
                <w:rFonts w:ascii="Arial" w:hAnsi="Arial" w:cs="Arial"/>
                <w:sz w:val="14"/>
                <w:szCs w:val="14"/>
              </w:rPr>
            </w:pPr>
            <w:r w:rsidRPr="00565830">
              <w:rPr>
                <w:rFonts w:ascii="Arial" w:hAnsi="Arial" w:cs="Arial"/>
                <w:sz w:val="14"/>
                <w:szCs w:val="14"/>
              </w:rPr>
              <w:t>N/D</w:t>
            </w:r>
          </w:p>
        </w:tc>
        <w:tc>
          <w:tcPr>
            <w:tcW w:w="1095" w:type="dxa"/>
            <w:shd w:val="clear" w:color="auto" w:fill="D9D9D9" w:themeFill="background1" w:themeFillShade="D9"/>
            <w:vAlign w:val="center"/>
            <w:hideMark/>
          </w:tcPr>
          <w:p w14:paraId="3CFD2C2F" w14:textId="77777777" w:rsidR="00F35C13" w:rsidRPr="00565830" w:rsidRDefault="00F35C13" w:rsidP="00CC56D2">
            <w:pPr>
              <w:jc w:val="center"/>
              <w:rPr>
                <w:rFonts w:ascii="Arial" w:hAnsi="Arial" w:cs="Arial"/>
                <w:sz w:val="14"/>
                <w:szCs w:val="14"/>
              </w:rPr>
            </w:pPr>
            <w:r w:rsidRPr="00565830">
              <w:rPr>
                <w:rFonts w:ascii="Arial" w:hAnsi="Arial" w:cs="Arial"/>
                <w:sz w:val="14"/>
                <w:szCs w:val="14"/>
              </w:rPr>
              <w:t>N/A</w:t>
            </w:r>
          </w:p>
        </w:tc>
      </w:tr>
      <w:tr w:rsidR="00F35C13" w:rsidRPr="00565830" w14:paraId="61E3223A" w14:textId="77777777" w:rsidTr="00CC56D2">
        <w:trPr>
          <w:trHeight w:val="270"/>
        </w:trPr>
        <w:tc>
          <w:tcPr>
            <w:tcW w:w="2607" w:type="dxa"/>
            <w:gridSpan w:val="6"/>
            <w:vAlign w:val="center"/>
            <w:hideMark/>
          </w:tcPr>
          <w:p w14:paraId="06C73433" w14:textId="77777777" w:rsidR="00F35C13" w:rsidRPr="00565830" w:rsidRDefault="00F35C13" w:rsidP="00CC56D2">
            <w:pPr>
              <w:rPr>
                <w:rFonts w:ascii="Arial" w:hAnsi="Arial" w:cs="Arial"/>
                <w:b/>
                <w:bCs/>
                <w:sz w:val="14"/>
                <w:szCs w:val="14"/>
              </w:rPr>
            </w:pPr>
            <w:r w:rsidRPr="00565830">
              <w:rPr>
                <w:rFonts w:ascii="Arial" w:hAnsi="Arial" w:cs="Arial"/>
                <w:b/>
                <w:bCs/>
                <w:sz w:val="14"/>
                <w:szCs w:val="14"/>
              </w:rPr>
              <w:t>PRESUPUESTO MODIFICADO</w:t>
            </w:r>
          </w:p>
        </w:tc>
        <w:tc>
          <w:tcPr>
            <w:tcW w:w="306" w:type="dxa"/>
            <w:shd w:val="clear" w:color="auto" w:fill="000000" w:themeFill="text1"/>
            <w:vAlign w:val="center"/>
            <w:hideMark/>
          </w:tcPr>
          <w:p w14:paraId="232A3A5B" w14:textId="77777777" w:rsidR="00F35C13" w:rsidRPr="00565830" w:rsidRDefault="00F35C13" w:rsidP="00CC56D2">
            <w:pPr>
              <w:rPr>
                <w:rFonts w:ascii="Arial" w:hAnsi="Arial" w:cs="Arial"/>
                <w:b/>
                <w:bCs/>
                <w:sz w:val="14"/>
                <w:szCs w:val="14"/>
              </w:rPr>
            </w:pPr>
            <w:r w:rsidRPr="00565830">
              <w:rPr>
                <w:rFonts w:ascii="Arial" w:hAnsi="Arial" w:cs="Arial"/>
                <w:b/>
                <w:bCs/>
                <w:sz w:val="14"/>
                <w:szCs w:val="14"/>
              </w:rPr>
              <w:t> </w:t>
            </w:r>
          </w:p>
        </w:tc>
        <w:tc>
          <w:tcPr>
            <w:tcW w:w="387" w:type="dxa"/>
            <w:gridSpan w:val="2"/>
            <w:shd w:val="clear" w:color="auto" w:fill="000000" w:themeFill="text1"/>
            <w:vAlign w:val="center"/>
            <w:hideMark/>
          </w:tcPr>
          <w:p w14:paraId="260D86E2" w14:textId="77777777" w:rsidR="00F35C13" w:rsidRPr="00565830" w:rsidRDefault="00F35C13" w:rsidP="00CC56D2">
            <w:pPr>
              <w:rPr>
                <w:rFonts w:ascii="Arial" w:hAnsi="Arial" w:cs="Arial"/>
                <w:b/>
                <w:bCs/>
                <w:sz w:val="14"/>
                <w:szCs w:val="14"/>
              </w:rPr>
            </w:pPr>
            <w:r w:rsidRPr="00565830">
              <w:rPr>
                <w:rFonts w:ascii="Arial" w:hAnsi="Arial" w:cs="Arial"/>
                <w:b/>
                <w:bCs/>
                <w:sz w:val="14"/>
                <w:szCs w:val="14"/>
              </w:rPr>
              <w:t> </w:t>
            </w:r>
          </w:p>
        </w:tc>
        <w:tc>
          <w:tcPr>
            <w:tcW w:w="242" w:type="dxa"/>
            <w:shd w:val="clear" w:color="auto" w:fill="000000" w:themeFill="text1"/>
            <w:vAlign w:val="center"/>
            <w:hideMark/>
          </w:tcPr>
          <w:p w14:paraId="6FFC4D10" w14:textId="77777777" w:rsidR="00F35C13" w:rsidRPr="00565830" w:rsidRDefault="00F35C13" w:rsidP="00CC56D2">
            <w:pPr>
              <w:rPr>
                <w:rFonts w:ascii="Arial" w:hAnsi="Arial" w:cs="Arial"/>
                <w:b/>
                <w:bCs/>
                <w:sz w:val="14"/>
                <w:szCs w:val="14"/>
              </w:rPr>
            </w:pPr>
            <w:r w:rsidRPr="00565830">
              <w:rPr>
                <w:rFonts w:ascii="Arial" w:hAnsi="Arial" w:cs="Arial"/>
                <w:b/>
                <w:bCs/>
                <w:sz w:val="14"/>
                <w:szCs w:val="14"/>
              </w:rPr>
              <w:t> </w:t>
            </w:r>
          </w:p>
        </w:tc>
        <w:tc>
          <w:tcPr>
            <w:tcW w:w="250" w:type="dxa"/>
            <w:shd w:val="clear" w:color="auto" w:fill="000000" w:themeFill="text1"/>
            <w:vAlign w:val="center"/>
            <w:hideMark/>
          </w:tcPr>
          <w:p w14:paraId="3D254B29" w14:textId="77777777" w:rsidR="00F35C13" w:rsidRPr="00565830" w:rsidRDefault="00F35C13" w:rsidP="00CC56D2">
            <w:pPr>
              <w:rPr>
                <w:rFonts w:ascii="Arial" w:hAnsi="Arial" w:cs="Arial"/>
                <w:sz w:val="14"/>
                <w:szCs w:val="14"/>
              </w:rPr>
            </w:pPr>
            <w:r w:rsidRPr="00565830">
              <w:rPr>
                <w:rFonts w:ascii="Arial" w:hAnsi="Arial" w:cs="Arial"/>
                <w:sz w:val="14"/>
                <w:szCs w:val="14"/>
              </w:rPr>
              <w:t> </w:t>
            </w:r>
          </w:p>
        </w:tc>
        <w:tc>
          <w:tcPr>
            <w:tcW w:w="525" w:type="dxa"/>
            <w:gridSpan w:val="2"/>
            <w:shd w:val="clear" w:color="auto" w:fill="000000" w:themeFill="text1"/>
            <w:vAlign w:val="center"/>
            <w:hideMark/>
          </w:tcPr>
          <w:p w14:paraId="5AC1308B" w14:textId="77777777" w:rsidR="00F35C13" w:rsidRPr="00565830" w:rsidRDefault="00F35C13" w:rsidP="00CC56D2">
            <w:pPr>
              <w:rPr>
                <w:rFonts w:ascii="Arial" w:hAnsi="Arial" w:cs="Arial"/>
                <w:sz w:val="14"/>
                <w:szCs w:val="14"/>
              </w:rPr>
            </w:pPr>
            <w:r w:rsidRPr="00565830">
              <w:rPr>
                <w:rFonts w:ascii="Arial" w:hAnsi="Arial" w:cs="Arial"/>
                <w:sz w:val="14"/>
                <w:szCs w:val="14"/>
              </w:rPr>
              <w:t> </w:t>
            </w:r>
          </w:p>
        </w:tc>
        <w:tc>
          <w:tcPr>
            <w:tcW w:w="599" w:type="dxa"/>
            <w:shd w:val="clear" w:color="auto" w:fill="000000" w:themeFill="text1"/>
            <w:vAlign w:val="center"/>
            <w:hideMark/>
          </w:tcPr>
          <w:p w14:paraId="40703DBB" w14:textId="77777777" w:rsidR="00F35C13" w:rsidRPr="00565830" w:rsidRDefault="00F35C13" w:rsidP="00CC56D2">
            <w:pPr>
              <w:rPr>
                <w:rFonts w:ascii="Arial" w:hAnsi="Arial" w:cs="Arial"/>
                <w:sz w:val="14"/>
                <w:szCs w:val="14"/>
              </w:rPr>
            </w:pPr>
            <w:r w:rsidRPr="00565830">
              <w:rPr>
                <w:rFonts w:ascii="Arial" w:hAnsi="Arial" w:cs="Arial"/>
                <w:sz w:val="14"/>
                <w:szCs w:val="14"/>
              </w:rPr>
              <w:t> </w:t>
            </w:r>
          </w:p>
        </w:tc>
        <w:tc>
          <w:tcPr>
            <w:tcW w:w="705" w:type="dxa"/>
            <w:gridSpan w:val="3"/>
            <w:shd w:val="clear" w:color="auto" w:fill="000000" w:themeFill="text1"/>
            <w:vAlign w:val="center"/>
            <w:hideMark/>
          </w:tcPr>
          <w:p w14:paraId="2CFD04BA" w14:textId="77777777" w:rsidR="00F35C13" w:rsidRPr="00565830" w:rsidRDefault="00F35C13" w:rsidP="00CC56D2">
            <w:pPr>
              <w:rPr>
                <w:rFonts w:ascii="Arial" w:hAnsi="Arial" w:cs="Arial"/>
                <w:sz w:val="14"/>
                <w:szCs w:val="14"/>
              </w:rPr>
            </w:pPr>
            <w:r w:rsidRPr="00565830">
              <w:rPr>
                <w:rFonts w:ascii="Arial" w:hAnsi="Arial" w:cs="Arial"/>
                <w:sz w:val="14"/>
                <w:szCs w:val="14"/>
              </w:rPr>
              <w:t> </w:t>
            </w:r>
          </w:p>
        </w:tc>
        <w:tc>
          <w:tcPr>
            <w:tcW w:w="582" w:type="dxa"/>
            <w:shd w:val="clear" w:color="auto" w:fill="000000" w:themeFill="text1"/>
            <w:vAlign w:val="center"/>
            <w:hideMark/>
          </w:tcPr>
          <w:p w14:paraId="01AB2C97" w14:textId="77777777" w:rsidR="00F35C13" w:rsidRPr="00565830" w:rsidRDefault="00F35C13" w:rsidP="00CC56D2">
            <w:pPr>
              <w:rPr>
                <w:rFonts w:ascii="Arial" w:hAnsi="Arial" w:cs="Arial"/>
                <w:sz w:val="14"/>
                <w:szCs w:val="14"/>
              </w:rPr>
            </w:pPr>
            <w:r w:rsidRPr="00565830">
              <w:rPr>
                <w:rFonts w:ascii="Arial" w:hAnsi="Arial" w:cs="Arial"/>
                <w:sz w:val="14"/>
                <w:szCs w:val="14"/>
              </w:rPr>
              <w:t> </w:t>
            </w:r>
          </w:p>
        </w:tc>
        <w:tc>
          <w:tcPr>
            <w:tcW w:w="493" w:type="dxa"/>
            <w:shd w:val="clear" w:color="auto" w:fill="000000" w:themeFill="text1"/>
            <w:vAlign w:val="center"/>
            <w:hideMark/>
          </w:tcPr>
          <w:p w14:paraId="1EDA483E" w14:textId="77777777" w:rsidR="00F35C13" w:rsidRPr="00565830" w:rsidRDefault="00F35C13" w:rsidP="00CC56D2">
            <w:pPr>
              <w:rPr>
                <w:rFonts w:ascii="Arial" w:hAnsi="Arial" w:cs="Arial"/>
                <w:sz w:val="14"/>
                <w:szCs w:val="14"/>
              </w:rPr>
            </w:pPr>
            <w:r w:rsidRPr="00565830">
              <w:rPr>
                <w:rFonts w:ascii="Arial" w:hAnsi="Arial" w:cs="Arial"/>
                <w:sz w:val="14"/>
                <w:szCs w:val="14"/>
              </w:rPr>
              <w:t> </w:t>
            </w:r>
          </w:p>
        </w:tc>
        <w:tc>
          <w:tcPr>
            <w:tcW w:w="531" w:type="dxa"/>
            <w:gridSpan w:val="2"/>
            <w:shd w:val="clear" w:color="auto" w:fill="000000" w:themeFill="text1"/>
            <w:vAlign w:val="center"/>
            <w:hideMark/>
          </w:tcPr>
          <w:p w14:paraId="37122C85" w14:textId="77777777" w:rsidR="00F35C13" w:rsidRPr="00565830" w:rsidRDefault="00F35C13" w:rsidP="00CC56D2">
            <w:pPr>
              <w:rPr>
                <w:rFonts w:ascii="Arial" w:hAnsi="Arial" w:cs="Arial"/>
                <w:sz w:val="14"/>
                <w:szCs w:val="14"/>
              </w:rPr>
            </w:pPr>
            <w:r w:rsidRPr="00565830">
              <w:rPr>
                <w:rFonts w:ascii="Arial" w:hAnsi="Arial" w:cs="Arial"/>
                <w:sz w:val="14"/>
                <w:szCs w:val="14"/>
              </w:rPr>
              <w:t> </w:t>
            </w:r>
          </w:p>
        </w:tc>
        <w:tc>
          <w:tcPr>
            <w:tcW w:w="811" w:type="dxa"/>
            <w:shd w:val="clear" w:color="auto" w:fill="000000" w:themeFill="text1"/>
            <w:vAlign w:val="center"/>
            <w:hideMark/>
          </w:tcPr>
          <w:p w14:paraId="4F42CB6C" w14:textId="77777777" w:rsidR="00F35C13" w:rsidRPr="00565830" w:rsidRDefault="00F35C13" w:rsidP="00CC56D2">
            <w:pPr>
              <w:rPr>
                <w:rFonts w:ascii="Arial" w:hAnsi="Arial" w:cs="Arial"/>
                <w:sz w:val="14"/>
                <w:szCs w:val="14"/>
              </w:rPr>
            </w:pPr>
            <w:r w:rsidRPr="00565830">
              <w:rPr>
                <w:rFonts w:ascii="Arial" w:hAnsi="Arial" w:cs="Arial"/>
                <w:sz w:val="14"/>
                <w:szCs w:val="14"/>
              </w:rPr>
              <w:t> </w:t>
            </w:r>
          </w:p>
        </w:tc>
        <w:tc>
          <w:tcPr>
            <w:tcW w:w="948" w:type="dxa"/>
            <w:gridSpan w:val="3"/>
            <w:shd w:val="clear" w:color="auto" w:fill="000000" w:themeFill="text1"/>
            <w:vAlign w:val="center"/>
            <w:hideMark/>
          </w:tcPr>
          <w:p w14:paraId="5082D7A8" w14:textId="77777777" w:rsidR="00F35C13" w:rsidRPr="00565830" w:rsidRDefault="00F35C13" w:rsidP="00CC56D2">
            <w:pPr>
              <w:rPr>
                <w:rFonts w:ascii="Arial" w:hAnsi="Arial" w:cs="Arial"/>
                <w:sz w:val="14"/>
                <w:szCs w:val="14"/>
              </w:rPr>
            </w:pPr>
            <w:r w:rsidRPr="00565830">
              <w:rPr>
                <w:rFonts w:ascii="Arial" w:hAnsi="Arial" w:cs="Arial"/>
                <w:sz w:val="14"/>
                <w:szCs w:val="14"/>
              </w:rPr>
              <w:t> </w:t>
            </w:r>
          </w:p>
        </w:tc>
        <w:tc>
          <w:tcPr>
            <w:tcW w:w="874" w:type="dxa"/>
            <w:gridSpan w:val="2"/>
            <w:shd w:val="clear" w:color="auto" w:fill="000000" w:themeFill="text1"/>
            <w:vAlign w:val="center"/>
            <w:hideMark/>
          </w:tcPr>
          <w:p w14:paraId="469837AD" w14:textId="77777777" w:rsidR="00F35C13" w:rsidRPr="00565830" w:rsidRDefault="00F35C13" w:rsidP="00CC56D2">
            <w:pPr>
              <w:rPr>
                <w:rFonts w:ascii="Arial" w:hAnsi="Arial" w:cs="Arial"/>
                <w:sz w:val="14"/>
                <w:szCs w:val="14"/>
              </w:rPr>
            </w:pPr>
            <w:r w:rsidRPr="00565830">
              <w:rPr>
                <w:rFonts w:ascii="Arial" w:hAnsi="Arial" w:cs="Arial"/>
                <w:sz w:val="14"/>
                <w:szCs w:val="14"/>
              </w:rPr>
              <w:t> </w:t>
            </w:r>
          </w:p>
        </w:tc>
        <w:tc>
          <w:tcPr>
            <w:tcW w:w="260" w:type="dxa"/>
            <w:shd w:val="clear" w:color="auto" w:fill="000000" w:themeFill="text1"/>
            <w:vAlign w:val="center"/>
            <w:hideMark/>
          </w:tcPr>
          <w:p w14:paraId="589CB40C" w14:textId="77777777" w:rsidR="00F35C13" w:rsidRPr="00565830" w:rsidRDefault="00F35C13" w:rsidP="00CC56D2">
            <w:pPr>
              <w:rPr>
                <w:rFonts w:ascii="Arial" w:hAnsi="Arial" w:cs="Arial"/>
                <w:sz w:val="14"/>
                <w:szCs w:val="14"/>
              </w:rPr>
            </w:pPr>
            <w:r w:rsidRPr="00565830">
              <w:rPr>
                <w:rFonts w:ascii="Arial" w:hAnsi="Arial" w:cs="Arial"/>
                <w:sz w:val="14"/>
                <w:szCs w:val="14"/>
              </w:rPr>
              <w:t> </w:t>
            </w:r>
          </w:p>
        </w:tc>
        <w:tc>
          <w:tcPr>
            <w:tcW w:w="1134" w:type="dxa"/>
            <w:gridSpan w:val="3"/>
            <w:shd w:val="clear" w:color="auto" w:fill="D9D9D9" w:themeFill="background1" w:themeFillShade="D9"/>
            <w:vAlign w:val="center"/>
            <w:hideMark/>
          </w:tcPr>
          <w:p w14:paraId="0EB42626" w14:textId="77777777" w:rsidR="00F35C13" w:rsidRPr="00565830" w:rsidRDefault="00F35C13" w:rsidP="00CC56D2">
            <w:pPr>
              <w:jc w:val="center"/>
              <w:rPr>
                <w:rFonts w:ascii="Arial" w:hAnsi="Arial" w:cs="Arial"/>
                <w:sz w:val="14"/>
                <w:szCs w:val="14"/>
              </w:rPr>
            </w:pPr>
            <w:r w:rsidRPr="00565830">
              <w:rPr>
                <w:rFonts w:ascii="Arial" w:hAnsi="Arial" w:cs="Arial"/>
                <w:sz w:val="14"/>
                <w:szCs w:val="14"/>
              </w:rPr>
              <w:t>N/D</w:t>
            </w:r>
          </w:p>
        </w:tc>
        <w:tc>
          <w:tcPr>
            <w:tcW w:w="1049" w:type="dxa"/>
            <w:gridSpan w:val="3"/>
            <w:shd w:val="clear" w:color="auto" w:fill="D9D9D9" w:themeFill="background1" w:themeFillShade="D9"/>
            <w:vAlign w:val="center"/>
            <w:hideMark/>
          </w:tcPr>
          <w:p w14:paraId="302847F6" w14:textId="77777777" w:rsidR="00F35C13" w:rsidRPr="00565830" w:rsidRDefault="00F35C13" w:rsidP="00CC56D2">
            <w:pPr>
              <w:jc w:val="center"/>
              <w:rPr>
                <w:rFonts w:ascii="Arial" w:hAnsi="Arial" w:cs="Arial"/>
                <w:sz w:val="14"/>
                <w:szCs w:val="14"/>
              </w:rPr>
            </w:pPr>
            <w:r w:rsidRPr="00565830">
              <w:rPr>
                <w:rFonts w:ascii="Arial" w:hAnsi="Arial" w:cs="Arial"/>
                <w:sz w:val="14"/>
                <w:szCs w:val="14"/>
              </w:rPr>
              <w:t>N/D</w:t>
            </w:r>
          </w:p>
        </w:tc>
        <w:tc>
          <w:tcPr>
            <w:tcW w:w="1095" w:type="dxa"/>
            <w:shd w:val="clear" w:color="auto" w:fill="D9D9D9" w:themeFill="background1" w:themeFillShade="D9"/>
            <w:vAlign w:val="center"/>
            <w:hideMark/>
          </w:tcPr>
          <w:p w14:paraId="145D7F23" w14:textId="77777777" w:rsidR="00F35C13" w:rsidRPr="00565830" w:rsidRDefault="00F35C13" w:rsidP="00CC56D2">
            <w:pPr>
              <w:jc w:val="center"/>
              <w:rPr>
                <w:rFonts w:ascii="Arial" w:hAnsi="Arial" w:cs="Arial"/>
                <w:sz w:val="14"/>
                <w:szCs w:val="14"/>
              </w:rPr>
            </w:pPr>
            <w:r w:rsidRPr="00565830">
              <w:rPr>
                <w:rFonts w:ascii="Arial" w:hAnsi="Arial" w:cs="Arial"/>
                <w:sz w:val="14"/>
                <w:szCs w:val="14"/>
              </w:rPr>
              <w:t>N/A</w:t>
            </w:r>
          </w:p>
        </w:tc>
      </w:tr>
      <w:tr w:rsidR="00F35C13" w:rsidRPr="00565830" w14:paraId="10305653" w14:textId="77777777" w:rsidTr="00CC56D2">
        <w:trPr>
          <w:trHeight w:val="297"/>
        </w:trPr>
        <w:tc>
          <w:tcPr>
            <w:tcW w:w="13398" w:type="dxa"/>
            <w:gridSpan w:val="35"/>
            <w:shd w:val="clear" w:color="auto" w:fill="A6A6A6" w:themeFill="background1" w:themeFillShade="A6"/>
            <w:noWrap/>
            <w:vAlign w:val="center"/>
            <w:hideMark/>
          </w:tcPr>
          <w:p w14:paraId="61A4F3F8" w14:textId="77777777" w:rsidR="00F35C13" w:rsidRPr="00565830" w:rsidRDefault="00F35C13" w:rsidP="00CC56D2">
            <w:pPr>
              <w:jc w:val="center"/>
              <w:rPr>
                <w:rFonts w:ascii="Arial" w:hAnsi="Arial" w:cs="Arial"/>
                <w:b/>
                <w:bCs/>
                <w:sz w:val="16"/>
                <w:szCs w:val="14"/>
              </w:rPr>
            </w:pPr>
            <w:r w:rsidRPr="00565830">
              <w:rPr>
                <w:rFonts w:ascii="Arial" w:hAnsi="Arial" w:cs="Arial"/>
                <w:b/>
                <w:bCs/>
                <w:sz w:val="16"/>
                <w:szCs w:val="14"/>
              </w:rPr>
              <w:lastRenderedPageBreak/>
              <w:t>Justificación de diferencia de avances con respecto a las metas programadas</w:t>
            </w:r>
          </w:p>
        </w:tc>
      </w:tr>
      <w:tr w:rsidR="00F35C13" w:rsidRPr="00565830" w14:paraId="4031B4E8" w14:textId="77777777" w:rsidTr="00CC56D2">
        <w:trPr>
          <w:trHeight w:val="525"/>
        </w:trPr>
        <w:tc>
          <w:tcPr>
            <w:tcW w:w="13398" w:type="dxa"/>
            <w:gridSpan w:val="35"/>
            <w:vAlign w:val="center"/>
            <w:hideMark/>
          </w:tcPr>
          <w:p w14:paraId="296C70D7" w14:textId="77777777" w:rsidR="00F35C13" w:rsidRPr="00565830" w:rsidRDefault="00F35C13" w:rsidP="00CC56D2">
            <w:pPr>
              <w:rPr>
                <w:rFonts w:ascii="Arial" w:hAnsi="Arial" w:cs="Arial"/>
                <w:b/>
                <w:bCs/>
                <w:sz w:val="14"/>
                <w:szCs w:val="14"/>
              </w:rPr>
            </w:pPr>
            <w:r w:rsidRPr="00565830">
              <w:rPr>
                <w:rFonts w:ascii="Arial" w:hAnsi="Arial" w:cs="Arial"/>
                <w:b/>
                <w:bCs/>
                <w:sz w:val="14"/>
                <w:szCs w:val="14"/>
              </w:rPr>
              <w:t xml:space="preserve">Indicadores con frecuencia de medición con un periodo mayor de tiempo al anual. </w:t>
            </w:r>
            <w:r w:rsidRPr="00565830">
              <w:rPr>
                <w:rFonts w:ascii="Arial" w:hAnsi="Arial" w:cs="Arial"/>
                <w:b/>
                <w:bCs/>
                <w:sz w:val="14"/>
                <w:szCs w:val="14"/>
              </w:rPr>
              <w:br/>
              <w:t xml:space="preserve">Estos indicadores no registraron información ni justificación, debido a que lo harán de conformidad con la frecuencia de medición con la que programaron sus metas. </w:t>
            </w:r>
          </w:p>
        </w:tc>
      </w:tr>
      <w:tr w:rsidR="00F35C13" w:rsidRPr="00565830" w14:paraId="72C784E7" w14:textId="77777777" w:rsidTr="00CC56D2">
        <w:trPr>
          <w:trHeight w:val="1114"/>
        </w:trPr>
        <w:tc>
          <w:tcPr>
            <w:tcW w:w="13398" w:type="dxa"/>
            <w:gridSpan w:val="35"/>
            <w:vAlign w:val="center"/>
            <w:hideMark/>
          </w:tcPr>
          <w:p w14:paraId="4DF60917" w14:textId="77777777" w:rsidR="00F35C13" w:rsidRPr="00565830" w:rsidRDefault="00F35C13" w:rsidP="00CC56D2">
            <w:pPr>
              <w:rPr>
                <w:rFonts w:ascii="Arial" w:hAnsi="Arial" w:cs="Arial"/>
                <w:b/>
                <w:bCs/>
                <w:sz w:val="14"/>
                <w:szCs w:val="14"/>
              </w:rPr>
            </w:pPr>
            <w:r w:rsidRPr="00565830">
              <w:rPr>
                <w:rFonts w:ascii="Arial" w:hAnsi="Arial" w:cs="Arial"/>
                <w:b/>
                <w:bCs/>
                <w:sz w:val="14"/>
                <w:szCs w:val="14"/>
              </w:rPr>
              <w:t>Cobertura de tratamiento de casos nuevos de enfermedades infecciosas y transmisibles</w:t>
            </w:r>
            <w:r w:rsidRPr="00565830">
              <w:rPr>
                <w:rFonts w:ascii="Arial" w:hAnsi="Arial" w:cs="Arial"/>
                <w:b/>
                <w:bCs/>
                <w:sz w:val="14"/>
                <w:szCs w:val="14"/>
              </w:rPr>
              <w:br/>
            </w:r>
            <w:r w:rsidRPr="00565830">
              <w:rPr>
                <w:rFonts w:ascii="Arial" w:hAnsi="Arial" w:cs="Arial"/>
                <w:sz w:val="14"/>
                <w:szCs w:val="14"/>
              </w:rPr>
              <w:t xml:space="preserve"> Causa : Se incrementó la cobertura de tratamiento, debido a que se presentaron brotes de enfermedades transmitidas por vector (dengue) en Jalisco, Chiapas, Morelos y Veracruz; en el programa de Tuberculosis en todos los estados se incrementó la cobertura de tratamiento, ya que a partir de este año se implementó un nuevo sistema de información Plataforma Sistema Nacional de Vigilancia Epidemiológica (SINAVE), módulo tuberculosis, disponible en http://tuberculosis.sinave.gob.mx/ en el que se sigue de manera puntual a los casos (desde probables a su confirmación 0 descarte). Efecto: En el país, todas las personas notificadas con enfermedades infecciosas y </w:t>
            </w:r>
            <w:proofErr w:type="gramStart"/>
            <w:r w:rsidRPr="00565830">
              <w:rPr>
                <w:rFonts w:ascii="Arial" w:hAnsi="Arial" w:cs="Arial"/>
                <w:sz w:val="14"/>
                <w:szCs w:val="14"/>
              </w:rPr>
              <w:t>transmisibles,</w:t>
            </w:r>
            <w:proofErr w:type="gramEnd"/>
            <w:r w:rsidRPr="00565830">
              <w:rPr>
                <w:rFonts w:ascii="Arial" w:hAnsi="Arial" w:cs="Arial"/>
                <w:sz w:val="14"/>
                <w:szCs w:val="14"/>
              </w:rPr>
              <w:t xml:space="preserve"> han ingresado a tratamiento y se encuentran atendidas por los servicios estatales de salud. Otros Motivos:</w:t>
            </w:r>
          </w:p>
        </w:tc>
      </w:tr>
      <w:tr w:rsidR="00F35C13" w:rsidRPr="00565830" w14:paraId="73E9A136" w14:textId="77777777" w:rsidTr="00CC56D2">
        <w:trPr>
          <w:trHeight w:val="974"/>
        </w:trPr>
        <w:tc>
          <w:tcPr>
            <w:tcW w:w="13398" w:type="dxa"/>
            <w:gridSpan w:val="35"/>
            <w:vAlign w:val="center"/>
            <w:hideMark/>
          </w:tcPr>
          <w:p w14:paraId="6B42920B" w14:textId="77777777" w:rsidR="00F35C13" w:rsidRPr="00565830" w:rsidRDefault="00F35C13" w:rsidP="00CC56D2">
            <w:pPr>
              <w:rPr>
                <w:rFonts w:ascii="Arial" w:hAnsi="Arial" w:cs="Arial"/>
                <w:b/>
                <w:bCs/>
                <w:sz w:val="14"/>
                <w:szCs w:val="14"/>
              </w:rPr>
            </w:pPr>
            <w:r w:rsidRPr="00565830">
              <w:rPr>
                <w:rFonts w:ascii="Arial" w:hAnsi="Arial" w:cs="Arial"/>
                <w:b/>
                <w:bCs/>
                <w:sz w:val="14"/>
                <w:szCs w:val="14"/>
              </w:rPr>
              <w:t>Porcentaje de cambio entre el año base y el año de registro de casos nuevos confirmados de VIH por transmisión vertical</w:t>
            </w:r>
            <w:r w:rsidRPr="00565830">
              <w:rPr>
                <w:rFonts w:ascii="Arial" w:hAnsi="Arial" w:cs="Arial"/>
                <w:b/>
                <w:bCs/>
                <w:sz w:val="14"/>
                <w:szCs w:val="14"/>
              </w:rPr>
              <w:br/>
            </w:r>
            <w:r w:rsidRPr="00565830">
              <w:rPr>
                <w:rFonts w:ascii="Arial" w:hAnsi="Arial" w:cs="Arial"/>
                <w:sz w:val="14"/>
                <w:szCs w:val="14"/>
              </w:rPr>
              <w:t xml:space="preserve"> Causa : Hasta el ejercicio fiscal 2018, los Indicadores Sectoriales no eran registrados en sus metas programadas y alcanzadas, por las Unidades Responsables (UR), en las MIR respectivas, donde se registraron en el nivel de Fin, en cumplimiento de la normatividad en ese entonces vigente en la materia, los cuales permanecieron en las MIR 2019 (como es el caso de este indicador).  No se registró avance, porqué este indicador era el que estaba alineado al Programa Sectorial de Salud (del sexenio pasado). Efecto: Respecto a este indicador, no se lleva la información para el cálculo del mismo, razón por la </w:t>
            </w:r>
            <w:proofErr w:type="gramStart"/>
            <w:r w:rsidRPr="00565830">
              <w:rPr>
                <w:rFonts w:ascii="Arial" w:hAnsi="Arial" w:cs="Arial"/>
                <w:sz w:val="14"/>
                <w:szCs w:val="14"/>
              </w:rPr>
              <w:t>cual</w:t>
            </w:r>
            <w:proofErr w:type="gramEnd"/>
            <w:r w:rsidRPr="00565830">
              <w:rPr>
                <w:rFonts w:ascii="Arial" w:hAnsi="Arial" w:cs="Arial"/>
                <w:sz w:val="14"/>
                <w:szCs w:val="14"/>
              </w:rPr>
              <w:t xml:space="preserve"> al no llevar esa información, no podemos calcular metas (ajustadas, aprobadas y alcanzadas). Otros Motivos:</w:t>
            </w:r>
          </w:p>
        </w:tc>
      </w:tr>
      <w:tr w:rsidR="00F35C13" w:rsidRPr="00565830" w14:paraId="2D72B1BB" w14:textId="77777777" w:rsidTr="00CC56D2">
        <w:trPr>
          <w:trHeight w:val="1271"/>
        </w:trPr>
        <w:tc>
          <w:tcPr>
            <w:tcW w:w="13398" w:type="dxa"/>
            <w:gridSpan w:val="35"/>
            <w:vAlign w:val="center"/>
            <w:hideMark/>
          </w:tcPr>
          <w:p w14:paraId="64DA8023" w14:textId="77777777" w:rsidR="00F35C13" w:rsidRPr="00565830" w:rsidRDefault="00F35C13" w:rsidP="00CC56D2">
            <w:pPr>
              <w:rPr>
                <w:rFonts w:ascii="Arial" w:hAnsi="Arial" w:cs="Arial"/>
                <w:b/>
                <w:bCs/>
                <w:sz w:val="14"/>
                <w:szCs w:val="14"/>
              </w:rPr>
            </w:pPr>
            <w:r w:rsidRPr="00565830">
              <w:rPr>
                <w:rFonts w:ascii="Arial" w:hAnsi="Arial" w:cs="Arial"/>
                <w:b/>
                <w:bCs/>
                <w:sz w:val="14"/>
                <w:szCs w:val="14"/>
              </w:rPr>
              <w:t>Cobertura de notificación de casos nuevos de enfermedades infecciosas y transmisibles</w:t>
            </w:r>
            <w:r w:rsidRPr="00565830">
              <w:rPr>
                <w:rFonts w:ascii="Arial" w:hAnsi="Arial" w:cs="Arial"/>
                <w:b/>
                <w:bCs/>
                <w:sz w:val="14"/>
                <w:szCs w:val="14"/>
              </w:rPr>
              <w:br/>
            </w:r>
            <w:r w:rsidRPr="00565830">
              <w:rPr>
                <w:rFonts w:ascii="Arial" w:hAnsi="Arial" w:cs="Arial"/>
                <w:sz w:val="14"/>
                <w:szCs w:val="14"/>
              </w:rPr>
              <w:t xml:space="preserve"> </w:t>
            </w:r>
            <w:proofErr w:type="gramStart"/>
            <w:r w:rsidRPr="00565830">
              <w:rPr>
                <w:rFonts w:ascii="Arial" w:hAnsi="Arial" w:cs="Arial"/>
                <w:sz w:val="14"/>
                <w:szCs w:val="14"/>
              </w:rPr>
              <w:t>Causa :</w:t>
            </w:r>
            <w:proofErr w:type="gramEnd"/>
            <w:r w:rsidRPr="00565830">
              <w:rPr>
                <w:rFonts w:ascii="Arial" w:hAnsi="Arial" w:cs="Arial"/>
                <w:sz w:val="14"/>
                <w:szCs w:val="14"/>
              </w:rPr>
              <w:t xml:space="preserve"> El incremento se debió a que se presentaron brotes de casos nuevos de enfermedades transmitidas por vector en Jalisco, Chiapas. Morelos y Veracruz; al cierre del ejercicio el incremento fue de 4.2 puntos porcentuales (17,363 de casos nuevos de enfermedades transmitidas por vector=4.2%). Efecto: La Transmisión sostenida en brotes de enfermedades transmitidas por vector, incrementa los casos de estas en 17,363 casos nuevos de las antes citadas (4.2% incremento). La definición de brote </w:t>
            </w:r>
            <w:proofErr w:type="gramStart"/>
            <w:r w:rsidRPr="00565830">
              <w:rPr>
                <w:rFonts w:ascii="Arial" w:hAnsi="Arial" w:cs="Arial"/>
                <w:sz w:val="14"/>
                <w:szCs w:val="14"/>
              </w:rPr>
              <w:t>de acuerdo a</w:t>
            </w:r>
            <w:proofErr w:type="gramEnd"/>
            <w:r w:rsidRPr="00565830">
              <w:rPr>
                <w:rFonts w:ascii="Arial" w:hAnsi="Arial" w:cs="Arial"/>
                <w:sz w:val="14"/>
                <w:szCs w:val="14"/>
              </w:rPr>
              <w:t xml:space="preserve"> NOM-017-SSA2-2012, Para la vigilancia epidemiológica. 3.1.4 Brote, a la ocurrencia de dos o más casos asociados epidemiológicamente entre sí. La existencia de un caso único bajo vigilancia especial en un área donde no existía el padecimiento se considera también como brote. Otros Motivos: Los brotes salen de nuestra capacidad de programar.</w:t>
            </w:r>
          </w:p>
        </w:tc>
      </w:tr>
      <w:tr w:rsidR="00F35C13" w:rsidRPr="00565830" w14:paraId="73CC25A0" w14:textId="77777777" w:rsidTr="00CC56D2">
        <w:trPr>
          <w:trHeight w:val="1276"/>
        </w:trPr>
        <w:tc>
          <w:tcPr>
            <w:tcW w:w="13398" w:type="dxa"/>
            <w:gridSpan w:val="35"/>
            <w:vAlign w:val="center"/>
            <w:hideMark/>
          </w:tcPr>
          <w:p w14:paraId="241925CE" w14:textId="77777777" w:rsidR="00F35C13" w:rsidRPr="00565830" w:rsidRDefault="00F35C13" w:rsidP="00CC56D2">
            <w:pPr>
              <w:rPr>
                <w:rFonts w:ascii="Arial" w:hAnsi="Arial" w:cs="Arial"/>
                <w:b/>
                <w:bCs/>
                <w:sz w:val="14"/>
                <w:szCs w:val="14"/>
              </w:rPr>
            </w:pPr>
            <w:r w:rsidRPr="00565830">
              <w:rPr>
                <w:rFonts w:ascii="Arial" w:hAnsi="Arial" w:cs="Arial"/>
                <w:b/>
                <w:bCs/>
                <w:sz w:val="14"/>
                <w:szCs w:val="14"/>
              </w:rPr>
              <w:t xml:space="preserve"> Porcentaje de Boletines Semanales de Información Epidemiológica publicados en la página de la Dirección General de Epidemiología</w:t>
            </w:r>
            <w:r w:rsidRPr="00565830">
              <w:rPr>
                <w:rFonts w:ascii="Arial" w:hAnsi="Arial" w:cs="Arial"/>
                <w:b/>
                <w:bCs/>
                <w:sz w:val="14"/>
                <w:szCs w:val="14"/>
              </w:rPr>
              <w:br/>
            </w:r>
            <w:r w:rsidRPr="00565830">
              <w:rPr>
                <w:rFonts w:ascii="Arial" w:hAnsi="Arial" w:cs="Arial"/>
                <w:sz w:val="14"/>
                <w:szCs w:val="14"/>
              </w:rPr>
              <w:t xml:space="preserve"> Causa: En estos Boletines se publica, el número de casos de todas las enfermedades sujetas a vigilancia epidemiológica por entidad federativa y semana epidemiológica. El indicador se cumplió al 100%. De manera ininterrumpida, la información para la vigilancia epidemiológica se integra mediante diferentes niveles operativos en el Sistema Nacional de Vigilancia Epidemiológica, que para el abordaje de la morbilidad consta de sistemas especiales y vigilancia convencional.  El indicador se cumplió al 100% con la confirmación de 52 emisiones al periodo de reporte. Efecto: Los servicios de salud estatales, así como el personal operativo de los servicios de salud, cuentan con la información de calidad, lo que les permite abordar de forma correcta decisiones en salud pública. La información ininterrumpida es parte de la razón de ser de la Dirección General de Epidemiología, el boletín es el documento por excelencia para la difusión de dicha información, la información epidemiológica se enfoca en 172 enfermedades de interés en salud pública y es necesario que ésta sea de calidad y se encuentre disponible. Otros Motivos:</w:t>
            </w:r>
          </w:p>
        </w:tc>
      </w:tr>
      <w:tr w:rsidR="00F35C13" w:rsidRPr="00565830" w14:paraId="321EA89C" w14:textId="77777777" w:rsidTr="00CC56D2">
        <w:trPr>
          <w:trHeight w:val="1541"/>
        </w:trPr>
        <w:tc>
          <w:tcPr>
            <w:tcW w:w="13398" w:type="dxa"/>
            <w:gridSpan w:val="35"/>
            <w:vAlign w:val="center"/>
            <w:hideMark/>
          </w:tcPr>
          <w:p w14:paraId="79CC6A80" w14:textId="77777777" w:rsidR="00F35C13" w:rsidRPr="00565830" w:rsidRDefault="00F35C13" w:rsidP="00CC56D2">
            <w:pPr>
              <w:rPr>
                <w:rFonts w:ascii="Arial" w:hAnsi="Arial" w:cs="Arial"/>
                <w:b/>
                <w:bCs/>
                <w:sz w:val="14"/>
                <w:szCs w:val="14"/>
              </w:rPr>
            </w:pPr>
            <w:r w:rsidRPr="00565830">
              <w:rPr>
                <w:rFonts w:ascii="Arial" w:hAnsi="Arial" w:cs="Arial"/>
                <w:b/>
                <w:bCs/>
                <w:sz w:val="14"/>
                <w:szCs w:val="14"/>
              </w:rPr>
              <w:t>Evaluación Externa del Desempeño de la Red Nacional de Laboratorios de Salud Pública</w:t>
            </w:r>
            <w:r w:rsidRPr="00565830">
              <w:rPr>
                <w:rFonts w:ascii="Arial" w:hAnsi="Arial" w:cs="Arial"/>
                <w:b/>
                <w:bCs/>
                <w:sz w:val="14"/>
                <w:szCs w:val="14"/>
              </w:rPr>
              <w:br/>
            </w:r>
            <w:r w:rsidRPr="00565830">
              <w:rPr>
                <w:rFonts w:ascii="Arial" w:hAnsi="Arial" w:cs="Arial"/>
                <w:sz w:val="14"/>
                <w:szCs w:val="14"/>
              </w:rPr>
              <w:t xml:space="preserve"> </w:t>
            </w:r>
            <w:proofErr w:type="gramStart"/>
            <w:r w:rsidRPr="00565830">
              <w:rPr>
                <w:rFonts w:ascii="Arial" w:hAnsi="Arial" w:cs="Arial"/>
                <w:sz w:val="14"/>
                <w:szCs w:val="14"/>
              </w:rPr>
              <w:t>Causa :</w:t>
            </w:r>
            <w:proofErr w:type="gramEnd"/>
            <w:r w:rsidRPr="00565830">
              <w:rPr>
                <w:rFonts w:ascii="Arial" w:hAnsi="Arial" w:cs="Arial"/>
                <w:sz w:val="14"/>
                <w:szCs w:val="14"/>
              </w:rPr>
              <w:t xml:space="preserve"> El Instituto de Diagnóstico y Referencia Epidemiológicos (</w:t>
            </w:r>
            <w:proofErr w:type="spellStart"/>
            <w:r w:rsidRPr="00565830">
              <w:rPr>
                <w:rFonts w:ascii="Arial" w:hAnsi="Arial" w:cs="Arial"/>
                <w:sz w:val="14"/>
                <w:szCs w:val="14"/>
              </w:rPr>
              <w:t>InDRE</w:t>
            </w:r>
            <w:proofErr w:type="spellEnd"/>
            <w:r w:rsidRPr="00565830">
              <w:rPr>
                <w:rFonts w:ascii="Arial" w:hAnsi="Arial" w:cs="Arial"/>
                <w:sz w:val="14"/>
                <w:szCs w:val="14"/>
              </w:rPr>
              <w:t>) envió 1011 paneles de Evaluación del Desempeño (paneles de muestras biológicas) para verificar las calidad del diagnóstico de los 31 Laboratorios Estatales de Salud Pública identificándose una concordancia de 94.59%, esto se debe a que 16 de los 31 LESP tiene un desempeño mayor o igual a 95.0. Lo anterior representa una confiabilidad del 94.59% en los informes de resultados que emite la Red Nacional de Laboratorios (RNLSP) Efecto: El resultado obtenido en indicador garantiza la confiablidad de las pruebas diagnósticas beneficiando a la población abierta en el control y la prevención de las principales enfermedades transmisibles de importancia en salud pública. La información que genera la Red Nacional de Laboratorios de Salud Pública (RNLSP) es de orden nacional, por lo que debe ser confiable y oportuna para sustentar la toma de decisiones de los programas sustantivos y la vigilancia epidemiológica. Otros Motivos:</w:t>
            </w:r>
          </w:p>
        </w:tc>
      </w:tr>
      <w:tr w:rsidR="00F35C13" w:rsidRPr="00565830" w14:paraId="2CFC61E2" w14:textId="77777777" w:rsidTr="00CC56D2">
        <w:trPr>
          <w:trHeight w:val="2267"/>
        </w:trPr>
        <w:tc>
          <w:tcPr>
            <w:tcW w:w="13398" w:type="dxa"/>
            <w:gridSpan w:val="35"/>
            <w:vAlign w:val="center"/>
            <w:hideMark/>
          </w:tcPr>
          <w:p w14:paraId="5D37491A" w14:textId="77777777" w:rsidR="00F35C13" w:rsidRPr="00565830" w:rsidRDefault="00F35C13" w:rsidP="00CC56D2">
            <w:pPr>
              <w:rPr>
                <w:rFonts w:ascii="Arial" w:hAnsi="Arial" w:cs="Arial"/>
                <w:b/>
                <w:bCs/>
                <w:sz w:val="14"/>
                <w:szCs w:val="14"/>
              </w:rPr>
            </w:pPr>
            <w:r w:rsidRPr="00565830">
              <w:rPr>
                <w:rFonts w:ascii="Arial" w:hAnsi="Arial" w:cs="Arial"/>
                <w:b/>
                <w:bCs/>
                <w:sz w:val="14"/>
                <w:szCs w:val="14"/>
              </w:rPr>
              <w:lastRenderedPageBreak/>
              <w:t>Porcentaje de cumplimiento de las visitas de supervisión programadas a las entidades federativas</w:t>
            </w:r>
            <w:r w:rsidRPr="00565830">
              <w:rPr>
                <w:rFonts w:ascii="Arial" w:hAnsi="Arial" w:cs="Arial"/>
                <w:b/>
                <w:bCs/>
                <w:sz w:val="14"/>
                <w:szCs w:val="14"/>
              </w:rPr>
              <w:br/>
            </w:r>
            <w:r w:rsidRPr="00565830">
              <w:rPr>
                <w:rFonts w:ascii="Arial" w:hAnsi="Arial" w:cs="Arial"/>
                <w:sz w:val="14"/>
                <w:szCs w:val="14"/>
              </w:rPr>
              <w:t xml:space="preserve"> Causa : Se contó con presupuesto para realizar cinco supervisiones por arriba de la meta programada (la meta era 44 supervisiones para una meta de 89.8%), desglosadas fueron dos supervisiones en Tuberculosis, una en lepra y dos en urgencias; lo que contribuyó a incrementar la meta en 10.2 puntos porcentuales (5 supervisiones por arriba de lo estimado) y superar con ello lo que se había programado (89.8%). Sabemos que realizando estas cinco supervisiones incrementaríamos la meta que se había estimado, pero también que es más importante reforzar la asesoría en los estados para cumplir con el compromiso en nuestra población (cortar cadenas de transmisión en tuberculosis y lepra); así como acudir a supervisar en el tema de urgencias. Efecto: En tuberculosis se implementó la actualización del sistema de información plataforma Tuberculosis (http://sinave.gob.mx/); por lo que al contar con la anuencia se decidió salir para no perder la oportunidad de verificar su implementación En lepra estamos en vías de eliminación, por lo que se propuso hacer un estado más a las autoridades autorizándolo, esto sirvió para avanzar para cumplir dicho objetivo. En urgencias, se logró supervisar estados que no se había dado asesoría en años previos. Otros Motivos: Debido a un error la meta ajustada en cuarto trimestre que se tiene capturada en el portal aplicativo (PASH) está de 12.24% (numerador de 6 y denominador de 49), es por ello </w:t>
            </w:r>
            <w:proofErr w:type="gramStart"/>
            <w:r w:rsidRPr="00565830">
              <w:rPr>
                <w:rFonts w:ascii="Arial" w:hAnsi="Arial" w:cs="Arial"/>
                <w:sz w:val="14"/>
                <w:szCs w:val="14"/>
              </w:rPr>
              <w:t>que</w:t>
            </w:r>
            <w:proofErr w:type="gramEnd"/>
            <w:r w:rsidRPr="00565830">
              <w:rPr>
                <w:rFonts w:ascii="Arial" w:hAnsi="Arial" w:cs="Arial"/>
                <w:sz w:val="14"/>
                <w:szCs w:val="14"/>
              </w:rPr>
              <w:t xml:space="preserve"> debido a ese error no se capturó lo correcto. Lo que debe decir es meta de 89.8% (numerador de 44 y denominador de 49).</w:t>
            </w:r>
          </w:p>
        </w:tc>
      </w:tr>
      <w:tr w:rsidR="00F35C13" w:rsidRPr="00565830" w14:paraId="6C6C7200" w14:textId="77777777" w:rsidTr="00CC56D2">
        <w:trPr>
          <w:trHeight w:val="1639"/>
        </w:trPr>
        <w:tc>
          <w:tcPr>
            <w:tcW w:w="13398" w:type="dxa"/>
            <w:gridSpan w:val="35"/>
            <w:vAlign w:val="center"/>
            <w:hideMark/>
          </w:tcPr>
          <w:p w14:paraId="6943E31B" w14:textId="77777777" w:rsidR="00F35C13" w:rsidRPr="00565830" w:rsidRDefault="00F35C13" w:rsidP="00CC56D2">
            <w:pPr>
              <w:rPr>
                <w:rFonts w:ascii="Arial" w:hAnsi="Arial" w:cs="Arial"/>
                <w:b/>
                <w:bCs/>
                <w:sz w:val="14"/>
                <w:szCs w:val="14"/>
              </w:rPr>
            </w:pPr>
            <w:r w:rsidRPr="00565830">
              <w:rPr>
                <w:rFonts w:ascii="Arial" w:hAnsi="Arial" w:cs="Arial"/>
                <w:b/>
                <w:bCs/>
                <w:sz w:val="14"/>
                <w:szCs w:val="14"/>
              </w:rPr>
              <w:t xml:space="preserve">Porcentaje de eventos de capacitación presenciales y a distancia del personal del Sistema Nacional de Vigilancia Epidemiológica (SINAVE) </w:t>
            </w:r>
            <w:r w:rsidRPr="00565830">
              <w:rPr>
                <w:rFonts w:ascii="Arial" w:hAnsi="Arial" w:cs="Arial"/>
                <w:b/>
                <w:bCs/>
                <w:sz w:val="14"/>
                <w:szCs w:val="14"/>
              </w:rPr>
              <w:br w:type="page"/>
            </w:r>
            <w:r w:rsidRPr="00565830">
              <w:rPr>
                <w:rFonts w:ascii="Arial" w:hAnsi="Arial" w:cs="Arial"/>
                <w:sz w:val="14"/>
                <w:szCs w:val="14"/>
              </w:rPr>
              <w:t xml:space="preserve"> Causa : Se cumplió al 100% con la meta, semanalmente la convocatoria se envía por correo electrónico y se envía link de acceso a nivel nacional para establecer sesiones Web-EX y cada miércoles hay capacitaciones sobre los temas relevantes de Vigilancia Epidemiológica en el Pulso Epidemiológico, ejemplo de estos últimos son: Lesiones de tejidos blandos por mesoterapia, dengue, enfermedades crónicas sujetas a vigilancia epidemiológica. Efecto: Gracias a estas capacitaciones semanales, se logran abarcar muchos temas relevantes epidemiológicos, lo que permitió mantener actualizados todos los eventos que se presentaron en el país durante cada semana en la que fueron convocados todos los epidemiólogos del país. Esto contribuye de gran manera a tomar decisiones en las áreas afectadas por enfermedades que deben de contar con Vigilancia Epidemiológica. Otros Motivos:</w:t>
            </w:r>
          </w:p>
        </w:tc>
      </w:tr>
      <w:tr w:rsidR="00F35C13" w:rsidRPr="00565830" w14:paraId="198DBC20" w14:textId="77777777" w:rsidTr="00CC56D2">
        <w:trPr>
          <w:trHeight w:val="1455"/>
        </w:trPr>
        <w:tc>
          <w:tcPr>
            <w:tcW w:w="13398" w:type="dxa"/>
            <w:gridSpan w:val="35"/>
            <w:vAlign w:val="center"/>
            <w:hideMark/>
          </w:tcPr>
          <w:p w14:paraId="175E591F" w14:textId="77777777" w:rsidR="00F35C13" w:rsidRPr="00565830" w:rsidRDefault="00F35C13" w:rsidP="00CC56D2">
            <w:pPr>
              <w:rPr>
                <w:rFonts w:ascii="Arial" w:hAnsi="Arial" w:cs="Arial"/>
                <w:b/>
                <w:bCs/>
                <w:sz w:val="14"/>
                <w:szCs w:val="14"/>
              </w:rPr>
            </w:pPr>
            <w:r w:rsidRPr="00565830">
              <w:rPr>
                <w:rFonts w:ascii="Arial" w:hAnsi="Arial" w:cs="Arial"/>
                <w:b/>
                <w:bCs/>
                <w:sz w:val="14"/>
                <w:szCs w:val="14"/>
              </w:rPr>
              <w:t>Cobertura del Marco Analítico Básico de la Red Nacional de Laboratorios de Salud Pública (RNLSP)</w:t>
            </w:r>
            <w:r w:rsidRPr="00565830">
              <w:rPr>
                <w:rFonts w:ascii="Arial" w:hAnsi="Arial" w:cs="Arial"/>
                <w:b/>
                <w:bCs/>
                <w:sz w:val="14"/>
                <w:szCs w:val="14"/>
              </w:rPr>
              <w:br/>
            </w:r>
            <w:r w:rsidRPr="00565830">
              <w:rPr>
                <w:rFonts w:ascii="Arial" w:hAnsi="Arial" w:cs="Arial"/>
                <w:sz w:val="14"/>
                <w:szCs w:val="14"/>
              </w:rPr>
              <w:t xml:space="preserve"> Causa : La meta esperada de 25 Laboratorios Estatales de salud Pública (LESP) cumplan el 80.65% del Marco Analítico Básico, la meta realizada es de 24 debido a la reactivación del diagnóstico de influenza en el estado de Baja California por lo que pasa de 23 a 24 diagnósticos y Michoacán pasa de 26 a 27 y Oaxaca reactiva Sarampión pasando de 24 a 25 Diagnósticos de acuerdo a sus reportes en el SIS/SINBA y la plataforma de EFES. Por lo que se tiene un porcentaje de cumplimiento de la meta de 96% Efecto: No hay afectación a la población por el resultado obtenido, ya que el resultado representa una cobertura diagnóstica aceptable que permite mantener una vigilancia epidemiológica y el blindaje sanitario por laboratorio en el país de las principales enfermedades transmisibles. Otros Motivos:</w:t>
            </w:r>
          </w:p>
        </w:tc>
      </w:tr>
      <w:tr w:rsidR="00F35C13" w:rsidRPr="00565830" w14:paraId="0528EA48" w14:textId="77777777" w:rsidTr="00CC56D2">
        <w:trPr>
          <w:trHeight w:val="1725"/>
        </w:trPr>
        <w:tc>
          <w:tcPr>
            <w:tcW w:w="13398" w:type="dxa"/>
            <w:gridSpan w:val="35"/>
            <w:vAlign w:val="center"/>
            <w:hideMark/>
          </w:tcPr>
          <w:p w14:paraId="6D76E480" w14:textId="77777777" w:rsidR="00F35C13" w:rsidRPr="00565830" w:rsidRDefault="00F35C13" w:rsidP="00CC56D2">
            <w:pPr>
              <w:rPr>
                <w:rFonts w:ascii="Arial" w:hAnsi="Arial" w:cs="Arial"/>
                <w:b/>
                <w:bCs/>
                <w:sz w:val="14"/>
                <w:szCs w:val="14"/>
              </w:rPr>
            </w:pPr>
            <w:r w:rsidRPr="00565830">
              <w:rPr>
                <w:rFonts w:ascii="Arial" w:hAnsi="Arial" w:cs="Arial"/>
                <w:b/>
                <w:bCs/>
                <w:sz w:val="14"/>
                <w:szCs w:val="14"/>
              </w:rPr>
              <w:t xml:space="preserve">Cobertura de capacitación sobre enfermedades infecciosas y transmisibles </w:t>
            </w:r>
            <w:r w:rsidRPr="00565830">
              <w:rPr>
                <w:rFonts w:ascii="Arial" w:hAnsi="Arial" w:cs="Arial"/>
                <w:b/>
                <w:bCs/>
                <w:sz w:val="14"/>
                <w:szCs w:val="14"/>
              </w:rPr>
              <w:br/>
            </w:r>
            <w:r w:rsidRPr="00565830">
              <w:rPr>
                <w:rFonts w:ascii="Arial" w:hAnsi="Arial" w:cs="Arial"/>
                <w:sz w:val="14"/>
                <w:szCs w:val="14"/>
              </w:rPr>
              <w:t xml:space="preserve"> Causa : Entidades federativas (Campeche, Estado de México y Guanajuato) solicitaron a la Subdirección de Salud Bucal (temas como tratamiento restaurativo atraumático, preescolar y escolar) capacitaciones para fortalecer las estrategias de dicho programa; al igual que la Dirección de Urgencias (temas como diarreas, cólera) incrementando con ello 9 capacitaciones al final del año por arriba de la meta, debido a que se contó con presupuesto suplementario. Estas capacitaciones por arriba de lo estimado, incrementó la meta 44.44%. Como ejemplo de las capacitaciones se citan: curso de inducción a nuevos líderes de programa (tuberculosis, lepra), Curso Taller Clínico y Operativo de la Tuberculosis con Resistencia a Fármacos, Taller de atención de personas expuestas al virus de la rabia y control de focos rábicos. Efecto: En ambos programas se logró cubrir las necesidades de los estados y además se cubrió aquellas entidades (urgencias) que no se habían capacitado en años previos. Otros Motivos:</w:t>
            </w:r>
          </w:p>
        </w:tc>
      </w:tr>
    </w:tbl>
    <w:p w14:paraId="2A9BF542" w14:textId="77777777" w:rsidR="0052612C" w:rsidRDefault="0052612C"/>
    <w:sectPr w:rsidR="0052612C" w:rsidSect="00F35C13">
      <w:pgSz w:w="15840" w:h="12240" w:orient="landscape"/>
      <w:pgMar w:top="1701" w:right="1418" w:bottom="170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5C13"/>
    <w:rsid w:val="0052612C"/>
    <w:rsid w:val="00D91272"/>
    <w:rsid w:val="00F35C13"/>
    <w:rsid w:val="00FA2AD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D9C936"/>
  <w15:chartTrackingRefBased/>
  <w15:docId w15:val="{AF8D3C28-515F-4058-9387-829BF3331F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5C13"/>
    <w:pPr>
      <w:spacing w:after="200" w:line="276" w:lineRule="auto"/>
    </w:pPr>
  </w:style>
  <w:style w:type="paragraph" w:styleId="Ttulo1">
    <w:name w:val="heading 1"/>
    <w:basedOn w:val="Normal"/>
    <w:next w:val="Normal"/>
    <w:link w:val="Ttulo1Car"/>
    <w:uiPriority w:val="9"/>
    <w:qFormat/>
    <w:rsid w:val="00F35C13"/>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F35C13"/>
    <w:rPr>
      <w:rFonts w:asciiTheme="majorHAnsi" w:eastAsiaTheme="majorEastAsia" w:hAnsiTheme="majorHAnsi" w:cstheme="majorBidi"/>
      <w:b/>
      <w:bCs/>
      <w:color w:val="2F5496" w:themeColor="accent1" w:themeShade="BF"/>
      <w:sz w:val="28"/>
      <w:szCs w:val="28"/>
    </w:rPr>
  </w:style>
  <w:style w:type="table" w:styleId="Tablaconcuadrcula">
    <w:name w:val="Table Grid"/>
    <w:basedOn w:val="Tablanormal"/>
    <w:uiPriority w:val="59"/>
    <w:rsid w:val="00F35C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E5995C-2270-46C5-8BB8-6112932618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2488</Words>
  <Characters>13688</Characters>
  <Application>Microsoft Office Word</Application>
  <DocSecurity>0</DocSecurity>
  <Lines>114</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Marcela Vázquez Coronado</dc:creator>
  <cp:keywords/>
  <dc:description/>
  <cp:lastModifiedBy>Marcela Vázquez Coronado</cp:lastModifiedBy>
  <cp:revision>2</cp:revision>
  <dcterms:created xsi:type="dcterms:W3CDTF">2021-02-11T01:39:00Z</dcterms:created>
  <dcterms:modified xsi:type="dcterms:W3CDTF">2021-02-11T01:39:00Z</dcterms:modified>
</cp:coreProperties>
</file>