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8AF24" w14:textId="77777777" w:rsidR="000305FE" w:rsidRPr="005E2604" w:rsidRDefault="000305FE">
      <w:pPr>
        <w:rPr>
          <w:rFonts w:ascii="Montserrat" w:hAnsi="Montserrat"/>
        </w:rPr>
      </w:pPr>
      <w:bookmarkStart w:id="0" w:name="_GoBack"/>
      <w:bookmarkEnd w:id="0"/>
    </w:p>
    <w:p w14:paraId="0A13C5A2" w14:textId="77777777" w:rsidR="000305FE" w:rsidRPr="005E2604" w:rsidRDefault="000305FE">
      <w:pPr>
        <w:rPr>
          <w:rFonts w:ascii="Montserrat" w:hAnsi="Montserrat"/>
        </w:rPr>
      </w:pPr>
    </w:p>
    <w:p w14:paraId="33918B41" w14:textId="62EC0ACF" w:rsidR="000305FE" w:rsidRPr="005E2604" w:rsidRDefault="00C30039" w:rsidP="00C30039">
      <w:pPr>
        <w:tabs>
          <w:tab w:val="left" w:pos="3240"/>
        </w:tabs>
        <w:rPr>
          <w:rFonts w:ascii="Montserrat" w:eastAsia="Montserrat SemiBold" w:hAnsi="Montserrat" w:cs="Montserrat SemiBold"/>
          <w:color w:val="807F83"/>
        </w:rPr>
      </w:pPr>
      <w:r w:rsidRPr="005E2604">
        <w:rPr>
          <w:rFonts w:ascii="Montserrat" w:eastAsia="Montserrat SemiBold" w:hAnsi="Montserrat" w:cs="Montserrat SemiBold"/>
          <w:color w:val="807F83"/>
        </w:rPr>
        <w:tab/>
      </w:r>
    </w:p>
    <w:p w14:paraId="71980750" w14:textId="77777777" w:rsidR="000305FE" w:rsidRPr="005E2604" w:rsidRDefault="000305FE">
      <w:pPr>
        <w:jc w:val="center"/>
        <w:rPr>
          <w:rFonts w:ascii="Montserrat" w:eastAsia="Montserrat SemiBold" w:hAnsi="Montserrat" w:cs="Montserrat SemiBold"/>
          <w:color w:val="807F83"/>
        </w:rPr>
      </w:pPr>
    </w:p>
    <w:p w14:paraId="705D8BEF" w14:textId="77777777" w:rsidR="000305FE" w:rsidRPr="005E2604" w:rsidRDefault="000305FE">
      <w:pPr>
        <w:jc w:val="center"/>
        <w:rPr>
          <w:rFonts w:ascii="Montserrat" w:eastAsia="Montserrat SemiBold" w:hAnsi="Montserrat" w:cs="Montserrat SemiBold"/>
          <w:color w:val="807F83"/>
        </w:rPr>
      </w:pPr>
    </w:p>
    <w:sdt>
      <w:sdtPr>
        <w:rPr>
          <w:rFonts w:ascii="Montserrat" w:hAnsi="Montserrat"/>
        </w:rPr>
        <w:tag w:val="goog_rdk_3"/>
        <w:id w:val="264424155"/>
      </w:sdtPr>
      <w:sdtEndPr>
        <w:rPr>
          <w:rFonts w:ascii="Noto Sans" w:hAnsi="Noto Sans" w:cs="Noto Sans"/>
          <w:b/>
        </w:rPr>
      </w:sdtEndPr>
      <w:sdtContent>
        <w:p w14:paraId="4FCE440A" w14:textId="6FF1F06A" w:rsidR="000305FE" w:rsidRPr="0089139F" w:rsidRDefault="00F46AC9">
          <w:pPr>
            <w:jc w:val="center"/>
            <w:rPr>
              <w:rFonts w:ascii="Noto Sans" w:eastAsia="Montserrat SemiBold" w:hAnsi="Noto Sans" w:cs="Noto Sans"/>
              <w:b/>
              <w:color w:val="807F83"/>
            </w:rPr>
          </w:pPr>
          <w:sdt>
            <w:sdtPr>
              <w:rPr>
                <w:rFonts w:ascii="Montserrat" w:hAnsi="Montserrat"/>
              </w:rPr>
              <w:tag w:val="goog_rdk_1"/>
              <w:id w:val="-2009436617"/>
              <w:showingPlcHdr/>
            </w:sdtPr>
            <w:sdtEndPr>
              <w:rPr>
                <w:b/>
              </w:rPr>
            </w:sdtEndPr>
            <w:sdtContent>
              <w:r w:rsidR="008B7422" w:rsidRPr="005E2604">
                <w:rPr>
                  <w:rFonts w:ascii="Montserrat" w:hAnsi="Montserrat"/>
                  <w:b/>
                </w:rPr>
                <w:t xml:space="preserve">     </w:t>
              </w:r>
            </w:sdtContent>
          </w:sdt>
          <w:r w:rsidR="00CB63D1" w:rsidRPr="0089139F">
            <w:rPr>
              <w:rFonts w:ascii="Noto Sans" w:eastAsia="Montserrat SemiBold" w:hAnsi="Noto Sans" w:cs="Noto Sans"/>
              <w:b/>
              <w:color w:val="807F83"/>
            </w:rPr>
            <w:t>Secretaría de Salud</w:t>
          </w:r>
          <w:r w:rsidR="00CB63D1" w:rsidRPr="0089139F">
            <w:rPr>
              <w:rFonts w:ascii="Noto Sans" w:eastAsia="Montserrat SemiBold" w:hAnsi="Noto Sans" w:cs="Noto Sans"/>
              <w:b/>
              <w:color w:val="807F83"/>
            </w:rPr>
            <w:br/>
            <w:t xml:space="preserve">Centro Nacional de </w:t>
          </w:r>
          <w:r w:rsidR="0089139F" w:rsidRPr="0089139F">
            <w:rPr>
              <w:rFonts w:ascii="Noto Sans" w:eastAsia="Montserrat SemiBold" w:hAnsi="Noto Sans" w:cs="Noto Sans"/>
              <w:b/>
              <w:color w:val="807F83"/>
            </w:rPr>
            <w:t xml:space="preserve">Prevención </w:t>
          </w:r>
          <w:r w:rsidR="00CB63D1" w:rsidRPr="0089139F">
            <w:rPr>
              <w:rFonts w:ascii="Noto Sans" w:eastAsia="Montserrat SemiBold" w:hAnsi="Noto Sans" w:cs="Noto Sans"/>
              <w:b/>
              <w:color w:val="807F83"/>
            </w:rPr>
            <w:t xml:space="preserve"> y Control de Enfermedades</w:t>
          </w:r>
          <w:sdt>
            <w:sdtPr>
              <w:rPr>
                <w:rFonts w:ascii="Noto Sans" w:hAnsi="Noto Sans" w:cs="Noto Sans"/>
                <w:b/>
              </w:rPr>
              <w:tag w:val="goog_rdk_2"/>
              <w:id w:val="-2043117306"/>
            </w:sdtPr>
            <w:sdtEndPr/>
            <w:sdtContent/>
          </w:sdt>
        </w:p>
      </w:sdtContent>
    </w:sdt>
    <w:sdt>
      <w:sdtPr>
        <w:rPr>
          <w:rFonts w:ascii="Noto Sans" w:hAnsi="Noto Sans" w:cs="Noto Sans"/>
          <w:b/>
        </w:rPr>
        <w:tag w:val="goog_rdk_6"/>
        <w:id w:val="-1208792608"/>
      </w:sdtPr>
      <w:sdtEndPr/>
      <w:sdtContent>
        <w:p w14:paraId="371502FC" w14:textId="57BB3403" w:rsidR="000305FE" w:rsidRPr="0089139F" w:rsidRDefault="00F46AC9">
          <w:pPr>
            <w:jc w:val="center"/>
            <w:rPr>
              <w:rFonts w:ascii="Noto Sans" w:eastAsia="Montserrat SemiBold" w:hAnsi="Noto Sans" w:cs="Noto Sans"/>
              <w:b/>
              <w:color w:val="807F83"/>
            </w:rPr>
          </w:pPr>
          <w:sdt>
            <w:sdtPr>
              <w:rPr>
                <w:rFonts w:ascii="Noto Sans" w:hAnsi="Noto Sans" w:cs="Noto Sans"/>
                <w:b/>
              </w:rPr>
              <w:tag w:val="goog_rdk_4"/>
              <w:id w:val="-1935816079"/>
            </w:sdtPr>
            <w:sdtEndPr/>
            <w:sdtContent>
              <w:r w:rsidR="00CB63D1" w:rsidRPr="0089139F">
                <w:rPr>
                  <w:rFonts w:ascii="Noto Sans" w:eastAsia="Montserrat SemiBold" w:hAnsi="Noto Sans" w:cs="Noto Sans"/>
                  <w:b/>
                  <w:color w:val="807F83"/>
                </w:rPr>
                <w:t>Dirección General de Epidemiología</w:t>
              </w:r>
            </w:sdtContent>
          </w:sdt>
          <w:sdt>
            <w:sdtPr>
              <w:rPr>
                <w:rFonts w:ascii="Noto Sans" w:hAnsi="Noto Sans" w:cs="Noto Sans"/>
                <w:b/>
              </w:rPr>
              <w:tag w:val="goog_rdk_5"/>
              <w:id w:val="-1350940911"/>
              <w:showingPlcHdr/>
            </w:sdtPr>
            <w:sdtEndPr/>
            <w:sdtContent>
              <w:r w:rsidR="008602CB" w:rsidRPr="0089139F">
                <w:rPr>
                  <w:rFonts w:ascii="Noto Sans" w:hAnsi="Noto Sans" w:cs="Noto Sans"/>
                  <w:b/>
                </w:rPr>
                <w:t xml:space="preserve">     </w:t>
              </w:r>
            </w:sdtContent>
          </w:sdt>
        </w:p>
      </w:sdtContent>
    </w:sdt>
    <w:p w14:paraId="3C203EBC" w14:textId="77777777" w:rsidR="000305FE" w:rsidRPr="0089139F" w:rsidRDefault="000305FE">
      <w:pPr>
        <w:rPr>
          <w:rFonts w:ascii="Noto Sans" w:hAnsi="Noto Sans" w:cs="Noto Sans"/>
          <w:b/>
        </w:rPr>
      </w:pPr>
    </w:p>
    <w:p w14:paraId="3C138D2F" w14:textId="77777777" w:rsidR="000305FE" w:rsidRPr="0089139F" w:rsidRDefault="000305FE">
      <w:pPr>
        <w:rPr>
          <w:rFonts w:ascii="Noto Sans" w:hAnsi="Noto Sans" w:cs="Noto Sans"/>
        </w:rPr>
      </w:pPr>
    </w:p>
    <w:p w14:paraId="551C2A93" w14:textId="77777777" w:rsidR="000305FE" w:rsidRPr="0089139F" w:rsidRDefault="000305FE">
      <w:pPr>
        <w:rPr>
          <w:rFonts w:ascii="Noto Sans" w:hAnsi="Noto Sans" w:cs="Noto Sans"/>
        </w:rPr>
      </w:pPr>
    </w:p>
    <w:p w14:paraId="349A35D3" w14:textId="77777777" w:rsidR="000305FE" w:rsidRPr="0089139F" w:rsidRDefault="000305FE">
      <w:pPr>
        <w:rPr>
          <w:rFonts w:ascii="Noto Sans" w:hAnsi="Noto Sans" w:cs="Noto Sans"/>
        </w:rPr>
      </w:pPr>
    </w:p>
    <w:p w14:paraId="1B0FB320" w14:textId="77777777" w:rsidR="000305FE" w:rsidRPr="0089139F" w:rsidRDefault="00CB63D1">
      <w:pPr>
        <w:jc w:val="center"/>
        <w:rPr>
          <w:rFonts w:ascii="Noto Sans" w:eastAsia="Montserrat SemiBold" w:hAnsi="Noto Sans" w:cs="Noto Sans"/>
          <w:b/>
          <w:color w:val="0F243E" w:themeColor="text2" w:themeShade="80"/>
          <w:sz w:val="32"/>
          <w:szCs w:val="32"/>
        </w:rPr>
      </w:pPr>
      <w:r w:rsidRPr="0089139F">
        <w:rPr>
          <w:rFonts w:ascii="Noto Sans" w:eastAsia="Montserrat SemiBold" w:hAnsi="Noto Sans" w:cs="Noto Sans"/>
          <w:b/>
          <w:color w:val="0F243E" w:themeColor="text2" w:themeShade="80"/>
          <w:sz w:val="32"/>
          <w:szCs w:val="32"/>
        </w:rPr>
        <w:t xml:space="preserve">Diagnóstico del programa presupuestario </w:t>
      </w:r>
    </w:p>
    <w:p w14:paraId="44579370" w14:textId="18DCD66D" w:rsidR="000305FE" w:rsidRPr="0089139F" w:rsidRDefault="00CB63D1">
      <w:pPr>
        <w:jc w:val="center"/>
        <w:rPr>
          <w:rFonts w:ascii="Noto Sans" w:eastAsia="Montserrat SemiBold" w:hAnsi="Noto Sans" w:cs="Noto Sans"/>
          <w:b/>
          <w:color w:val="0F243E" w:themeColor="text2" w:themeShade="80"/>
          <w:sz w:val="32"/>
          <w:szCs w:val="32"/>
        </w:rPr>
      </w:pPr>
      <w:r w:rsidRPr="0089139F">
        <w:rPr>
          <w:rFonts w:ascii="Noto Sans" w:eastAsia="Montserrat SemiBold" w:hAnsi="Noto Sans" w:cs="Noto Sans"/>
          <w:b/>
          <w:color w:val="0F243E" w:themeColor="text2" w:themeShade="80"/>
          <w:sz w:val="32"/>
          <w:szCs w:val="32"/>
        </w:rPr>
        <w:t>U009 “Vigilancia Epidemiológica”</w:t>
      </w:r>
    </w:p>
    <w:p w14:paraId="6B1AC63F" w14:textId="39154FF3" w:rsidR="00406B4A" w:rsidRPr="0089139F" w:rsidRDefault="00406B4A">
      <w:pPr>
        <w:jc w:val="center"/>
        <w:rPr>
          <w:rFonts w:ascii="Noto Sans" w:eastAsia="Montserrat SemiBold" w:hAnsi="Noto Sans" w:cs="Noto Sans"/>
          <w:b/>
          <w:color w:val="0F243E" w:themeColor="text2" w:themeShade="80"/>
          <w:sz w:val="32"/>
          <w:szCs w:val="32"/>
        </w:rPr>
      </w:pPr>
    </w:p>
    <w:p w14:paraId="01A8FDDD" w14:textId="6A255483" w:rsidR="00406B4A" w:rsidRPr="0089139F" w:rsidRDefault="0089139F">
      <w:pPr>
        <w:jc w:val="center"/>
        <w:rPr>
          <w:rFonts w:ascii="Noto Sans" w:eastAsia="Montserrat SemiBold" w:hAnsi="Noto Sans" w:cs="Noto Sans"/>
          <w:b/>
          <w:color w:val="0F243E" w:themeColor="text2" w:themeShade="80"/>
          <w:sz w:val="32"/>
          <w:szCs w:val="32"/>
        </w:rPr>
      </w:pPr>
      <w:r w:rsidRPr="0089139F">
        <w:rPr>
          <w:rFonts w:ascii="Noto Sans" w:eastAsia="Montserrat SemiBold" w:hAnsi="Noto Sans" w:cs="Noto Sans"/>
          <w:b/>
          <w:color w:val="0F243E" w:themeColor="text2" w:themeShade="80"/>
          <w:sz w:val="32"/>
          <w:szCs w:val="32"/>
        </w:rPr>
        <w:t>V7_240225</w:t>
      </w:r>
    </w:p>
    <w:p w14:paraId="2A6B878B" w14:textId="77777777" w:rsidR="0089139F" w:rsidRPr="0089139F" w:rsidRDefault="0089139F">
      <w:pPr>
        <w:jc w:val="center"/>
        <w:rPr>
          <w:rFonts w:ascii="Noto Sans" w:eastAsia="Montserrat SemiBold" w:hAnsi="Noto Sans" w:cs="Noto Sans"/>
          <w:b/>
          <w:color w:val="0F243E" w:themeColor="text2" w:themeShade="80"/>
          <w:sz w:val="32"/>
          <w:szCs w:val="32"/>
        </w:rPr>
      </w:pPr>
    </w:p>
    <w:p w14:paraId="6EC00E18" w14:textId="77777777" w:rsidR="000305FE" w:rsidRPr="0089139F" w:rsidRDefault="000305FE">
      <w:pPr>
        <w:jc w:val="center"/>
        <w:rPr>
          <w:rFonts w:ascii="Noto Sans" w:eastAsia="Montserrat SemiBold" w:hAnsi="Noto Sans" w:cs="Noto Sans"/>
          <w:b/>
          <w:color w:val="0F243E" w:themeColor="text2" w:themeShade="80"/>
          <w:sz w:val="28"/>
          <w:szCs w:val="28"/>
        </w:rPr>
      </w:pPr>
    </w:p>
    <w:p w14:paraId="58E9A9D3" w14:textId="4454EDF8" w:rsidR="000305FE" w:rsidRPr="0089139F" w:rsidRDefault="000305FE">
      <w:pPr>
        <w:rPr>
          <w:rFonts w:ascii="Noto Sans" w:hAnsi="Noto Sans" w:cs="Noto Sans"/>
          <w:b/>
          <w:color w:val="0F243E" w:themeColor="text2" w:themeShade="80"/>
        </w:rPr>
      </w:pPr>
    </w:p>
    <w:p w14:paraId="093A2AB9" w14:textId="77777777" w:rsidR="0089139F" w:rsidRPr="0089139F" w:rsidRDefault="0089139F">
      <w:pPr>
        <w:rPr>
          <w:rFonts w:ascii="Noto Sans" w:hAnsi="Noto Sans" w:cs="Noto Sans"/>
          <w:b/>
          <w:color w:val="0F243E" w:themeColor="text2" w:themeShade="80"/>
        </w:rPr>
      </w:pPr>
    </w:p>
    <w:p w14:paraId="1724EE47" w14:textId="77777777" w:rsidR="000305FE" w:rsidRPr="0089139F" w:rsidRDefault="000305FE">
      <w:pPr>
        <w:rPr>
          <w:rFonts w:ascii="Noto Sans" w:hAnsi="Noto Sans" w:cs="Noto Sans"/>
        </w:rPr>
      </w:pPr>
    </w:p>
    <w:p w14:paraId="7ED5DF79" w14:textId="77777777" w:rsidR="000305FE" w:rsidRPr="0089139F" w:rsidRDefault="000305FE">
      <w:pPr>
        <w:rPr>
          <w:rFonts w:ascii="Noto Sans" w:hAnsi="Noto Sans" w:cs="Noto Sans"/>
        </w:rPr>
      </w:pPr>
    </w:p>
    <w:p w14:paraId="6DEB224F" w14:textId="77777777" w:rsidR="000305FE" w:rsidRPr="0089139F" w:rsidRDefault="000305FE">
      <w:pPr>
        <w:rPr>
          <w:rFonts w:ascii="Noto Sans" w:hAnsi="Noto Sans" w:cs="Noto Sans"/>
        </w:rPr>
      </w:pPr>
    </w:p>
    <w:p w14:paraId="70902C8E" w14:textId="77777777" w:rsidR="000305FE" w:rsidRPr="0089139F" w:rsidRDefault="00CB63D1">
      <w:pPr>
        <w:rPr>
          <w:rFonts w:ascii="Noto Sans" w:hAnsi="Noto Sans" w:cs="Noto Sans"/>
        </w:rPr>
      </w:pPr>
      <w:r w:rsidRPr="0089139F">
        <w:rPr>
          <w:rFonts w:ascii="Noto Sans" w:hAnsi="Noto Sans" w:cs="Noto Sans"/>
        </w:rPr>
        <w:br w:type="page"/>
      </w:r>
    </w:p>
    <w:p w14:paraId="0096C61E" w14:textId="201ECF35" w:rsidR="000305FE" w:rsidRPr="0089139F" w:rsidRDefault="000305FE">
      <w:pPr>
        <w:keepNext/>
        <w:keepLines/>
        <w:pBdr>
          <w:top w:val="nil"/>
          <w:left w:val="nil"/>
          <w:bottom w:val="nil"/>
          <w:right w:val="nil"/>
          <w:between w:val="nil"/>
        </w:pBdr>
        <w:spacing w:before="240" w:line="259" w:lineRule="auto"/>
        <w:rPr>
          <w:rFonts w:ascii="Noto Sans" w:hAnsi="Noto Sans" w:cs="Noto Sans"/>
        </w:rPr>
      </w:pPr>
    </w:p>
    <w:p w14:paraId="58FFEA9C" w14:textId="77777777" w:rsidR="00E24EE1" w:rsidRPr="0089139F" w:rsidRDefault="00E24EE1">
      <w:pPr>
        <w:keepNext/>
        <w:keepLines/>
        <w:pBdr>
          <w:top w:val="nil"/>
          <w:left w:val="nil"/>
          <w:bottom w:val="nil"/>
          <w:right w:val="nil"/>
          <w:between w:val="nil"/>
        </w:pBdr>
        <w:spacing w:before="240" w:line="259" w:lineRule="auto"/>
        <w:rPr>
          <w:rFonts w:ascii="Noto Sans" w:eastAsia="Century Gothic" w:hAnsi="Noto Sans" w:cs="Noto Sans"/>
          <w:color w:val="000000"/>
          <w:sz w:val="22"/>
          <w:szCs w:val="22"/>
        </w:rPr>
      </w:pPr>
    </w:p>
    <w:sdt>
      <w:sdtPr>
        <w:rPr>
          <w:rFonts w:ascii="Noto Sans" w:hAnsi="Noto Sans" w:cs="Noto Sans"/>
        </w:rPr>
        <w:id w:val="1676231635"/>
        <w:docPartObj>
          <w:docPartGallery w:val="Table of Contents"/>
          <w:docPartUnique/>
        </w:docPartObj>
      </w:sdtPr>
      <w:sdtEndPr/>
      <w:sdtContent>
        <w:p w14:paraId="333B1AFB" w14:textId="019393F4" w:rsidR="000305FE" w:rsidRPr="0089139F" w:rsidRDefault="00F46AC9">
          <w:pPr>
            <w:pBdr>
              <w:top w:val="nil"/>
              <w:left w:val="nil"/>
              <w:bottom w:val="nil"/>
              <w:right w:val="nil"/>
              <w:between w:val="nil"/>
            </w:pBdr>
            <w:tabs>
              <w:tab w:val="right" w:pos="10055"/>
            </w:tabs>
            <w:rPr>
              <w:rFonts w:ascii="Noto Sans" w:eastAsia="Century Gothic" w:hAnsi="Noto Sans" w:cs="Noto Sans"/>
              <w:color w:val="000000"/>
              <w:sz w:val="22"/>
              <w:szCs w:val="22"/>
            </w:rPr>
          </w:pPr>
          <w:hyperlink w:anchor="_heading=h.gjdgxs">
            <w:r w:rsidR="00CB63D1" w:rsidRPr="0089139F">
              <w:rPr>
                <w:rFonts w:ascii="Noto Sans" w:eastAsia="Century Gothic" w:hAnsi="Noto Sans" w:cs="Noto Sans"/>
                <w:color w:val="000000"/>
                <w:sz w:val="22"/>
                <w:szCs w:val="22"/>
              </w:rPr>
              <w:t>1. Introducción</w:t>
            </w:r>
            <w:r w:rsidR="00CB63D1" w:rsidRPr="0089139F">
              <w:rPr>
                <w:rFonts w:ascii="Noto Sans" w:eastAsia="Century Gothic" w:hAnsi="Noto Sans" w:cs="Noto Sans"/>
                <w:color w:val="000000"/>
                <w:sz w:val="22"/>
                <w:szCs w:val="22"/>
              </w:rPr>
              <w:tab/>
              <w:t>3</w:t>
            </w:r>
          </w:hyperlink>
        </w:p>
        <w:p w14:paraId="7D86DDDB" w14:textId="760A29E1" w:rsidR="000305FE" w:rsidRPr="0089139F" w:rsidRDefault="00F46AC9">
          <w:pPr>
            <w:pBdr>
              <w:top w:val="nil"/>
              <w:left w:val="nil"/>
              <w:bottom w:val="nil"/>
              <w:right w:val="nil"/>
              <w:between w:val="nil"/>
            </w:pBdr>
            <w:tabs>
              <w:tab w:val="right" w:pos="10055"/>
            </w:tabs>
            <w:rPr>
              <w:rFonts w:ascii="Noto Sans" w:eastAsia="Century Gothic" w:hAnsi="Noto Sans" w:cs="Noto Sans"/>
              <w:color w:val="000000"/>
              <w:sz w:val="22"/>
              <w:szCs w:val="22"/>
            </w:rPr>
          </w:pPr>
          <w:hyperlink w:anchor="_heading=h.30j0zll">
            <w:r w:rsidR="00CB63D1" w:rsidRPr="0089139F">
              <w:rPr>
                <w:rFonts w:ascii="Noto Sans" w:eastAsia="Century Gothic" w:hAnsi="Noto Sans" w:cs="Noto Sans"/>
                <w:color w:val="000000"/>
                <w:sz w:val="22"/>
                <w:szCs w:val="22"/>
              </w:rPr>
              <w:t>2. Objetivo</w:t>
            </w:r>
            <w:r w:rsidR="00CB63D1" w:rsidRPr="0089139F">
              <w:rPr>
                <w:rFonts w:ascii="Noto Sans" w:eastAsia="Century Gothic" w:hAnsi="Noto Sans" w:cs="Noto Sans"/>
                <w:color w:val="000000"/>
                <w:sz w:val="22"/>
                <w:szCs w:val="22"/>
              </w:rPr>
              <w:tab/>
            </w:r>
            <w:r w:rsidR="008C789D" w:rsidRPr="0089139F">
              <w:rPr>
                <w:rFonts w:ascii="Noto Sans" w:eastAsia="Century Gothic" w:hAnsi="Noto Sans" w:cs="Noto Sans"/>
                <w:color w:val="000000"/>
                <w:sz w:val="22"/>
                <w:szCs w:val="22"/>
              </w:rPr>
              <w:t>4</w:t>
            </w:r>
          </w:hyperlink>
        </w:p>
        <w:p w14:paraId="39FA1BA0" w14:textId="77777777" w:rsidR="000305FE" w:rsidRPr="0089139F" w:rsidRDefault="00F46AC9">
          <w:pPr>
            <w:pBdr>
              <w:top w:val="nil"/>
              <w:left w:val="nil"/>
              <w:bottom w:val="nil"/>
              <w:right w:val="nil"/>
              <w:between w:val="nil"/>
            </w:pBdr>
            <w:tabs>
              <w:tab w:val="right" w:pos="10055"/>
            </w:tabs>
            <w:rPr>
              <w:rFonts w:ascii="Noto Sans" w:eastAsia="Century Gothic" w:hAnsi="Noto Sans" w:cs="Noto Sans"/>
              <w:color w:val="000000"/>
              <w:sz w:val="22"/>
              <w:szCs w:val="22"/>
            </w:rPr>
          </w:pPr>
          <w:hyperlink w:anchor="_heading=h.1fob9te">
            <w:r w:rsidR="00CB63D1" w:rsidRPr="0089139F">
              <w:rPr>
                <w:rFonts w:ascii="Noto Sans" w:eastAsia="Century Gothic" w:hAnsi="Noto Sans" w:cs="Noto Sans"/>
                <w:color w:val="000000"/>
                <w:sz w:val="22"/>
                <w:szCs w:val="22"/>
              </w:rPr>
              <w:t>3. Ámbito de aplicación</w:t>
            </w:r>
            <w:r w:rsidR="00CB63D1" w:rsidRPr="0089139F">
              <w:rPr>
                <w:rFonts w:ascii="Noto Sans" w:eastAsia="Century Gothic" w:hAnsi="Noto Sans" w:cs="Noto Sans"/>
                <w:color w:val="000000"/>
                <w:sz w:val="22"/>
                <w:szCs w:val="22"/>
              </w:rPr>
              <w:tab/>
              <w:t>4</w:t>
            </w:r>
          </w:hyperlink>
        </w:p>
        <w:p w14:paraId="4B028B23" w14:textId="13D57CCD" w:rsidR="000305FE" w:rsidRPr="0089139F" w:rsidRDefault="00F46AC9">
          <w:pPr>
            <w:pBdr>
              <w:top w:val="nil"/>
              <w:left w:val="nil"/>
              <w:bottom w:val="nil"/>
              <w:right w:val="nil"/>
              <w:between w:val="nil"/>
            </w:pBdr>
            <w:tabs>
              <w:tab w:val="right" w:pos="10055"/>
            </w:tabs>
            <w:rPr>
              <w:rFonts w:ascii="Noto Sans" w:eastAsia="Century Gothic" w:hAnsi="Noto Sans" w:cs="Noto Sans"/>
              <w:color w:val="000000"/>
              <w:sz w:val="22"/>
              <w:szCs w:val="22"/>
            </w:rPr>
          </w:pPr>
          <w:hyperlink w:anchor="_heading=h.3znysh7">
            <w:r w:rsidR="00CB63D1" w:rsidRPr="0089139F">
              <w:rPr>
                <w:rFonts w:ascii="Noto Sans" w:eastAsia="Century Gothic" w:hAnsi="Noto Sans" w:cs="Noto Sans"/>
                <w:color w:val="000000"/>
                <w:sz w:val="22"/>
                <w:szCs w:val="22"/>
              </w:rPr>
              <w:t>4. Estructura general del diagnóstico</w:t>
            </w:r>
            <w:r w:rsidR="00CB63D1" w:rsidRPr="0089139F">
              <w:rPr>
                <w:rFonts w:ascii="Noto Sans" w:eastAsia="Century Gothic" w:hAnsi="Noto Sans" w:cs="Noto Sans"/>
                <w:color w:val="000000"/>
                <w:sz w:val="22"/>
                <w:szCs w:val="22"/>
              </w:rPr>
              <w:tab/>
            </w:r>
            <w:r w:rsidR="008C789D" w:rsidRPr="0089139F">
              <w:rPr>
                <w:rFonts w:ascii="Noto Sans" w:eastAsia="Century Gothic" w:hAnsi="Noto Sans" w:cs="Noto Sans"/>
                <w:color w:val="000000"/>
                <w:sz w:val="22"/>
                <w:szCs w:val="22"/>
              </w:rPr>
              <w:t>5</w:t>
            </w:r>
          </w:hyperlink>
        </w:p>
        <w:p w14:paraId="3BA09887" w14:textId="56705C6B" w:rsidR="000305FE" w:rsidRPr="0089139F" w:rsidRDefault="00F46AC9">
          <w:pPr>
            <w:pBdr>
              <w:top w:val="nil"/>
              <w:left w:val="nil"/>
              <w:bottom w:val="nil"/>
              <w:right w:val="nil"/>
              <w:between w:val="nil"/>
            </w:pBdr>
            <w:tabs>
              <w:tab w:val="right" w:pos="10055"/>
            </w:tabs>
            <w:ind w:left="240"/>
            <w:rPr>
              <w:rFonts w:ascii="Noto Sans" w:eastAsia="Century Gothic" w:hAnsi="Noto Sans" w:cs="Noto Sans"/>
              <w:color w:val="000000"/>
              <w:sz w:val="22"/>
              <w:szCs w:val="22"/>
            </w:rPr>
          </w:pPr>
          <w:hyperlink w:anchor="_heading=h.2et92p0">
            <w:r w:rsidR="00CB63D1" w:rsidRPr="0089139F">
              <w:rPr>
                <w:rFonts w:ascii="Noto Sans" w:eastAsia="Century Gothic" w:hAnsi="Noto Sans" w:cs="Noto Sans"/>
                <w:color w:val="000000"/>
                <w:sz w:val="22"/>
                <w:szCs w:val="22"/>
              </w:rPr>
              <w:t>4.1 Antecedentes</w:t>
            </w:r>
            <w:r w:rsidR="00CB63D1" w:rsidRPr="0089139F">
              <w:rPr>
                <w:rFonts w:ascii="Noto Sans" w:eastAsia="Century Gothic" w:hAnsi="Noto Sans" w:cs="Noto Sans"/>
                <w:color w:val="000000"/>
                <w:sz w:val="22"/>
                <w:szCs w:val="22"/>
              </w:rPr>
              <w:tab/>
            </w:r>
            <w:r w:rsidR="008C789D" w:rsidRPr="0089139F">
              <w:rPr>
                <w:rFonts w:ascii="Noto Sans" w:eastAsia="Century Gothic" w:hAnsi="Noto Sans" w:cs="Noto Sans"/>
                <w:color w:val="000000"/>
                <w:sz w:val="22"/>
                <w:szCs w:val="22"/>
              </w:rPr>
              <w:t>5</w:t>
            </w:r>
          </w:hyperlink>
        </w:p>
        <w:p w14:paraId="1B085294" w14:textId="56432480" w:rsidR="000305FE" w:rsidRPr="0089139F" w:rsidRDefault="00F46AC9">
          <w:pPr>
            <w:pBdr>
              <w:top w:val="nil"/>
              <w:left w:val="nil"/>
              <w:bottom w:val="nil"/>
              <w:right w:val="nil"/>
              <w:between w:val="nil"/>
            </w:pBdr>
            <w:tabs>
              <w:tab w:val="right" w:pos="10055"/>
            </w:tabs>
            <w:ind w:left="240"/>
            <w:rPr>
              <w:rFonts w:ascii="Noto Sans" w:eastAsia="Century Gothic" w:hAnsi="Noto Sans" w:cs="Noto Sans"/>
              <w:color w:val="000000"/>
              <w:sz w:val="22"/>
              <w:szCs w:val="22"/>
            </w:rPr>
          </w:pPr>
          <w:hyperlink w:anchor="_heading=h.tyjcwt">
            <w:r w:rsidR="00CB63D1" w:rsidRPr="0089139F">
              <w:rPr>
                <w:rFonts w:ascii="Noto Sans" w:eastAsia="Century Gothic" w:hAnsi="Noto Sans" w:cs="Noto Sans"/>
                <w:color w:val="000000"/>
                <w:sz w:val="22"/>
                <w:szCs w:val="22"/>
              </w:rPr>
              <w:t>4.2 Identificación, definición y descripción del problema o necesidad</w:t>
            </w:r>
            <w:r w:rsidR="00CB63D1" w:rsidRPr="0089139F">
              <w:rPr>
                <w:rFonts w:ascii="Noto Sans" w:eastAsia="Century Gothic" w:hAnsi="Noto Sans" w:cs="Noto Sans"/>
                <w:color w:val="000000"/>
                <w:sz w:val="22"/>
                <w:szCs w:val="22"/>
              </w:rPr>
              <w:tab/>
            </w:r>
            <w:r w:rsidR="008C789D" w:rsidRPr="0089139F">
              <w:rPr>
                <w:rFonts w:ascii="Noto Sans" w:eastAsia="Century Gothic" w:hAnsi="Noto Sans" w:cs="Noto Sans"/>
                <w:color w:val="000000"/>
                <w:sz w:val="22"/>
                <w:szCs w:val="22"/>
              </w:rPr>
              <w:t>21</w:t>
            </w:r>
          </w:hyperlink>
        </w:p>
        <w:p w14:paraId="2954C1F2" w14:textId="61C75B53" w:rsidR="000305FE" w:rsidRPr="0089139F" w:rsidRDefault="00F46AC9">
          <w:pPr>
            <w:pBdr>
              <w:top w:val="nil"/>
              <w:left w:val="nil"/>
              <w:bottom w:val="nil"/>
              <w:right w:val="nil"/>
              <w:between w:val="nil"/>
            </w:pBdr>
            <w:tabs>
              <w:tab w:val="right" w:pos="10055"/>
            </w:tabs>
            <w:ind w:left="480"/>
            <w:rPr>
              <w:rFonts w:ascii="Noto Sans" w:eastAsia="Century Gothic" w:hAnsi="Noto Sans" w:cs="Noto Sans"/>
              <w:color w:val="000000"/>
              <w:sz w:val="22"/>
              <w:szCs w:val="22"/>
            </w:rPr>
          </w:pPr>
          <w:hyperlink w:anchor="_heading=h.3dy6vkm">
            <w:r w:rsidR="00CB63D1" w:rsidRPr="0089139F">
              <w:rPr>
                <w:rFonts w:ascii="Noto Sans" w:eastAsia="Century Gothic" w:hAnsi="Noto Sans" w:cs="Noto Sans"/>
                <w:color w:val="000000"/>
                <w:sz w:val="22"/>
                <w:szCs w:val="22"/>
              </w:rPr>
              <w:t>4.2.1 Definición del problema</w:t>
            </w:r>
            <w:r w:rsidR="00CB63D1" w:rsidRPr="0089139F">
              <w:rPr>
                <w:rFonts w:ascii="Noto Sans" w:eastAsia="Century Gothic" w:hAnsi="Noto Sans" w:cs="Noto Sans"/>
                <w:color w:val="000000"/>
                <w:sz w:val="22"/>
                <w:szCs w:val="22"/>
              </w:rPr>
              <w:tab/>
            </w:r>
            <w:r w:rsidR="008C789D" w:rsidRPr="0089139F">
              <w:rPr>
                <w:rFonts w:ascii="Noto Sans" w:eastAsia="Century Gothic" w:hAnsi="Noto Sans" w:cs="Noto Sans"/>
                <w:color w:val="000000"/>
                <w:sz w:val="22"/>
                <w:szCs w:val="22"/>
              </w:rPr>
              <w:t>21</w:t>
            </w:r>
          </w:hyperlink>
        </w:p>
        <w:p w14:paraId="33A13403" w14:textId="58B60FB2" w:rsidR="000305FE" w:rsidRPr="0089139F" w:rsidRDefault="00F46AC9">
          <w:pPr>
            <w:pBdr>
              <w:top w:val="nil"/>
              <w:left w:val="nil"/>
              <w:bottom w:val="nil"/>
              <w:right w:val="nil"/>
              <w:between w:val="nil"/>
            </w:pBdr>
            <w:tabs>
              <w:tab w:val="right" w:pos="10055"/>
            </w:tabs>
            <w:ind w:left="480"/>
            <w:rPr>
              <w:rFonts w:ascii="Noto Sans" w:eastAsia="Century Gothic" w:hAnsi="Noto Sans" w:cs="Noto Sans"/>
              <w:color w:val="000000"/>
              <w:sz w:val="22"/>
              <w:szCs w:val="22"/>
            </w:rPr>
          </w:pPr>
          <w:hyperlink w:anchor="_heading=h.1t3h5sf">
            <w:r w:rsidR="00CB63D1" w:rsidRPr="0089139F">
              <w:rPr>
                <w:rFonts w:ascii="Noto Sans" w:eastAsia="Century Gothic" w:hAnsi="Noto Sans" w:cs="Noto Sans"/>
                <w:color w:val="000000"/>
                <w:sz w:val="22"/>
                <w:szCs w:val="22"/>
              </w:rPr>
              <w:t>4.2.2 Estado actual del problema</w:t>
            </w:r>
            <w:r w:rsidR="00CB63D1" w:rsidRPr="0089139F">
              <w:rPr>
                <w:rFonts w:ascii="Noto Sans" w:eastAsia="Century Gothic" w:hAnsi="Noto Sans" w:cs="Noto Sans"/>
                <w:color w:val="000000"/>
                <w:sz w:val="22"/>
                <w:szCs w:val="22"/>
              </w:rPr>
              <w:tab/>
            </w:r>
            <w:r w:rsidR="008C789D" w:rsidRPr="0089139F">
              <w:rPr>
                <w:rFonts w:ascii="Noto Sans" w:eastAsia="Century Gothic" w:hAnsi="Noto Sans" w:cs="Noto Sans"/>
                <w:color w:val="000000"/>
                <w:sz w:val="22"/>
                <w:szCs w:val="22"/>
              </w:rPr>
              <w:t>22</w:t>
            </w:r>
          </w:hyperlink>
        </w:p>
        <w:p w14:paraId="4A551B6D" w14:textId="79E19153" w:rsidR="000305FE" w:rsidRPr="0089139F" w:rsidRDefault="00F46AC9">
          <w:pPr>
            <w:pBdr>
              <w:top w:val="nil"/>
              <w:left w:val="nil"/>
              <w:bottom w:val="nil"/>
              <w:right w:val="nil"/>
              <w:between w:val="nil"/>
            </w:pBdr>
            <w:tabs>
              <w:tab w:val="right" w:pos="10055"/>
            </w:tabs>
            <w:ind w:left="480"/>
            <w:rPr>
              <w:rFonts w:ascii="Noto Sans" w:eastAsia="Century Gothic" w:hAnsi="Noto Sans" w:cs="Noto Sans"/>
              <w:color w:val="000000"/>
              <w:sz w:val="22"/>
              <w:szCs w:val="22"/>
            </w:rPr>
          </w:pPr>
          <w:hyperlink w:anchor="_heading=h.4d34og8">
            <w:r w:rsidR="00CB63D1" w:rsidRPr="0089139F">
              <w:rPr>
                <w:rFonts w:ascii="Noto Sans" w:eastAsia="Century Gothic" w:hAnsi="Noto Sans" w:cs="Noto Sans"/>
                <w:color w:val="000000"/>
                <w:sz w:val="22"/>
                <w:szCs w:val="22"/>
              </w:rPr>
              <w:t>4.2.3 Evolución del problema</w:t>
            </w:r>
            <w:r w:rsidR="00CB63D1" w:rsidRPr="0089139F">
              <w:rPr>
                <w:rFonts w:ascii="Noto Sans" w:eastAsia="Century Gothic" w:hAnsi="Noto Sans" w:cs="Noto Sans"/>
                <w:color w:val="000000"/>
                <w:sz w:val="22"/>
                <w:szCs w:val="22"/>
              </w:rPr>
              <w:tab/>
            </w:r>
            <w:r w:rsidR="008C789D" w:rsidRPr="0089139F">
              <w:rPr>
                <w:rFonts w:ascii="Noto Sans" w:eastAsia="Century Gothic" w:hAnsi="Noto Sans" w:cs="Noto Sans"/>
                <w:color w:val="000000"/>
                <w:sz w:val="22"/>
                <w:szCs w:val="22"/>
              </w:rPr>
              <w:t>23</w:t>
            </w:r>
          </w:hyperlink>
        </w:p>
        <w:p w14:paraId="3E09F140" w14:textId="5B341F88" w:rsidR="000305FE" w:rsidRPr="0089139F" w:rsidRDefault="00F46AC9">
          <w:pPr>
            <w:pBdr>
              <w:top w:val="nil"/>
              <w:left w:val="nil"/>
              <w:bottom w:val="nil"/>
              <w:right w:val="nil"/>
              <w:between w:val="nil"/>
            </w:pBdr>
            <w:tabs>
              <w:tab w:val="right" w:pos="10055"/>
            </w:tabs>
            <w:ind w:left="480"/>
            <w:rPr>
              <w:rFonts w:ascii="Noto Sans" w:eastAsia="Century Gothic" w:hAnsi="Noto Sans" w:cs="Noto Sans"/>
              <w:color w:val="000000"/>
              <w:sz w:val="22"/>
              <w:szCs w:val="22"/>
            </w:rPr>
          </w:pPr>
          <w:hyperlink w:anchor="_heading=h.2s8eyo1">
            <w:r w:rsidR="00CB63D1" w:rsidRPr="0089139F">
              <w:rPr>
                <w:rFonts w:ascii="Noto Sans" w:eastAsia="Century Gothic" w:hAnsi="Noto Sans" w:cs="Noto Sans"/>
                <w:color w:val="000000"/>
                <w:sz w:val="22"/>
                <w:szCs w:val="22"/>
              </w:rPr>
              <w:t>4.2.4 Experiencias de atención</w:t>
            </w:r>
            <w:r w:rsidR="00CB63D1" w:rsidRPr="0089139F">
              <w:rPr>
                <w:rFonts w:ascii="Noto Sans" w:eastAsia="Century Gothic" w:hAnsi="Noto Sans" w:cs="Noto Sans"/>
                <w:color w:val="000000"/>
                <w:sz w:val="22"/>
                <w:szCs w:val="22"/>
              </w:rPr>
              <w:tab/>
            </w:r>
            <w:r w:rsidR="008C789D" w:rsidRPr="0089139F">
              <w:rPr>
                <w:rFonts w:ascii="Noto Sans" w:eastAsia="Century Gothic" w:hAnsi="Noto Sans" w:cs="Noto Sans"/>
                <w:color w:val="000000"/>
                <w:sz w:val="22"/>
                <w:szCs w:val="22"/>
              </w:rPr>
              <w:t>26</w:t>
            </w:r>
          </w:hyperlink>
        </w:p>
        <w:p w14:paraId="1E78F720" w14:textId="6E2DD1D3" w:rsidR="000305FE" w:rsidRPr="0089139F" w:rsidRDefault="00F46AC9">
          <w:pPr>
            <w:pBdr>
              <w:top w:val="nil"/>
              <w:left w:val="nil"/>
              <w:bottom w:val="nil"/>
              <w:right w:val="nil"/>
              <w:between w:val="nil"/>
            </w:pBdr>
            <w:tabs>
              <w:tab w:val="right" w:pos="10055"/>
            </w:tabs>
            <w:ind w:left="480"/>
            <w:rPr>
              <w:rFonts w:ascii="Noto Sans" w:eastAsia="Century Gothic" w:hAnsi="Noto Sans" w:cs="Noto Sans"/>
              <w:color w:val="000000"/>
              <w:sz w:val="22"/>
              <w:szCs w:val="22"/>
            </w:rPr>
          </w:pPr>
          <w:hyperlink w:anchor="_heading=h.17dp8vu">
            <w:r w:rsidR="00CB63D1" w:rsidRPr="0089139F">
              <w:rPr>
                <w:rFonts w:ascii="Noto Sans" w:eastAsia="Century Gothic" w:hAnsi="Noto Sans" w:cs="Noto Sans"/>
                <w:color w:val="000000"/>
                <w:sz w:val="22"/>
                <w:szCs w:val="22"/>
              </w:rPr>
              <w:t>4.2.5 Árbol de problemas</w:t>
            </w:r>
            <w:r w:rsidR="00CB63D1" w:rsidRPr="0089139F">
              <w:rPr>
                <w:rFonts w:ascii="Noto Sans" w:eastAsia="Century Gothic" w:hAnsi="Noto Sans" w:cs="Noto Sans"/>
                <w:color w:val="000000"/>
                <w:sz w:val="22"/>
                <w:szCs w:val="22"/>
              </w:rPr>
              <w:tab/>
            </w:r>
            <w:r w:rsidR="008C789D" w:rsidRPr="0089139F">
              <w:rPr>
                <w:rFonts w:ascii="Noto Sans" w:eastAsia="Century Gothic" w:hAnsi="Noto Sans" w:cs="Noto Sans"/>
                <w:color w:val="000000"/>
                <w:sz w:val="22"/>
                <w:szCs w:val="22"/>
              </w:rPr>
              <w:t>29</w:t>
            </w:r>
          </w:hyperlink>
        </w:p>
        <w:p w14:paraId="21AD360F" w14:textId="4BF084BF" w:rsidR="000305FE" w:rsidRPr="0089139F" w:rsidRDefault="00F46AC9">
          <w:pPr>
            <w:pBdr>
              <w:top w:val="nil"/>
              <w:left w:val="nil"/>
              <w:bottom w:val="nil"/>
              <w:right w:val="nil"/>
              <w:between w:val="nil"/>
            </w:pBdr>
            <w:tabs>
              <w:tab w:val="right" w:pos="10055"/>
            </w:tabs>
            <w:ind w:left="240"/>
            <w:rPr>
              <w:rFonts w:ascii="Noto Sans" w:eastAsia="Century Gothic" w:hAnsi="Noto Sans" w:cs="Noto Sans"/>
              <w:color w:val="000000"/>
              <w:sz w:val="22"/>
              <w:szCs w:val="22"/>
            </w:rPr>
          </w:pPr>
          <w:hyperlink w:anchor="_heading=h.3rdcrjn">
            <w:r w:rsidR="00CB63D1" w:rsidRPr="0089139F">
              <w:rPr>
                <w:rFonts w:ascii="Noto Sans" w:eastAsia="Century Gothic" w:hAnsi="Noto Sans" w:cs="Noto Sans"/>
                <w:color w:val="000000"/>
                <w:sz w:val="22"/>
                <w:szCs w:val="22"/>
              </w:rPr>
              <w:t>4.3 Objetivos</w:t>
            </w:r>
            <w:r w:rsidR="00CB63D1" w:rsidRPr="0089139F">
              <w:rPr>
                <w:rFonts w:ascii="Noto Sans" w:eastAsia="Century Gothic" w:hAnsi="Noto Sans" w:cs="Noto Sans"/>
                <w:color w:val="000000"/>
                <w:sz w:val="22"/>
                <w:szCs w:val="22"/>
              </w:rPr>
              <w:tab/>
            </w:r>
            <w:r w:rsidR="008C789D" w:rsidRPr="0089139F">
              <w:rPr>
                <w:rFonts w:ascii="Noto Sans" w:eastAsia="Century Gothic" w:hAnsi="Noto Sans" w:cs="Noto Sans"/>
                <w:color w:val="000000"/>
                <w:sz w:val="22"/>
                <w:szCs w:val="22"/>
              </w:rPr>
              <w:t>30</w:t>
            </w:r>
          </w:hyperlink>
        </w:p>
        <w:p w14:paraId="0CFF901B" w14:textId="7DB5CDF0" w:rsidR="000305FE" w:rsidRPr="0089139F" w:rsidRDefault="00F46AC9">
          <w:pPr>
            <w:pBdr>
              <w:top w:val="nil"/>
              <w:left w:val="nil"/>
              <w:bottom w:val="nil"/>
              <w:right w:val="nil"/>
              <w:between w:val="nil"/>
            </w:pBdr>
            <w:tabs>
              <w:tab w:val="right" w:pos="10055"/>
            </w:tabs>
            <w:ind w:left="480"/>
            <w:rPr>
              <w:rFonts w:ascii="Noto Sans" w:eastAsia="Century Gothic" w:hAnsi="Noto Sans" w:cs="Noto Sans"/>
              <w:color w:val="000000"/>
              <w:sz w:val="22"/>
              <w:szCs w:val="22"/>
            </w:rPr>
          </w:pPr>
          <w:hyperlink w:anchor="_heading=h.26in1rg">
            <w:r w:rsidR="00CB63D1" w:rsidRPr="0089139F">
              <w:rPr>
                <w:rFonts w:ascii="Noto Sans" w:eastAsia="Century Gothic" w:hAnsi="Noto Sans" w:cs="Noto Sans"/>
                <w:color w:val="000000"/>
                <w:sz w:val="22"/>
                <w:szCs w:val="22"/>
              </w:rPr>
              <w:t>4.3.1 Árbol de objetivos</w:t>
            </w:r>
            <w:r w:rsidR="00CB63D1" w:rsidRPr="0089139F">
              <w:rPr>
                <w:rFonts w:ascii="Noto Sans" w:eastAsia="Century Gothic" w:hAnsi="Noto Sans" w:cs="Noto Sans"/>
                <w:color w:val="000000"/>
                <w:sz w:val="22"/>
                <w:szCs w:val="22"/>
              </w:rPr>
              <w:tab/>
            </w:r>
            <w:r w:rsidR="008C789D" w:rsidRPr="0089139F">
              <w:rPr>
                <w:rFonts w:ascii="Noto Sans" w:eastAsia="Century Gothic" w:hAnsi="Noto Sans" w:cs="Noto Sans"/>
                <w:color w:val="000000"/>
                <w:sz w:val="22"/>
                <w:szCs w:val="22"/>
              </w:rPr>
              <w:t>30</w:t>
            </w:r>
          </w:hyperlink>
        </w:p>
        <w:p w14:paraId="43480731" w14:textId="70CF557E" w:rsidR="000305FE" w:rsidRPr="0089139F" w:rsidRDefault="00F46AC9">
          <w:pPr>
            <w:pBdr>
              <w:top w:val="nil"/>
              <w:left w:val="nil"/>
              <w:bottom w:val="nil"/>
              <w:right w:val="nil"/>
              <w:between w:val="nil"/>
            </w:pBdr>
            <w:tabs>
              <w:tab w:val="right" w:pos="10055"/>
            </w:tabs>
            <w:ind w:left="480"/>
            <w:rPr>
              <w:rFonts w:ascii="Noto Sans" w:eastAsia="Century Gothic" w:hAnsi="Noto Sans" w:cs="Noto Sans"/>
              <w:color w:val="000000"/>
              <w:sz w:val="22"/>
              <w:szCs w:val="22"/>
            </w:rPr>
          </w:pPr>
          <w:hyperlink w:anchor="_heading=h.lnxbz9">
            <w:r w:rsidR="00CB63D1" w:rsidRPr="0089139F">
              <w:rPr>
                <w:rFonts w:ascii="Noto Sans" w:eastAsia="Century Gothic" w:hAnsi="Noto Sans" w:cs="Noto Sans"/>
                <w:color w:val="000000"/>
                <w:sz w:val="22"/>
                <w:szCs w:val="22"/>
              </w:rPr>
              <w:t>4.3.2 Determinación de los objetivos del programa</w:t>
            </w:r>
            <w:r w:rsidR="00CB63D1" w:rsidRPr="0089139F">
              <w:rPr>
                <w:rFonts w:ascii="Noto Sans" w:eastAsia="Century Gothic" w:hAnsi="Noto Sans" w:cs="Noto Sans"/>
                <w:color w:val="000000"/>
                <w:sz w:val="22"/>
                <w:szCs w:val="22"/>
              </w:rPr>
              <w:tab/>
            </w:r>
            <w:r w:rsidR="008C789D" w:rsidRPr="0089139F">
              <w:rPr>
                <w:rFonts w:ascii="Noto Sans" w:eastAsia="Century Gothic" w:hAnsi="Noto Sans" w:cs="Noto Sans"/>
                <w:color w:val="000000"/>
                <w:sz w:val="22"/>
                <w:szCs w:val="22"/>
              </w:rPr>
              <w:t>30</w:t>
            </w:r>
          </w:hyperlink>
        </w:p>
        <w:p w14:paraId="3D48C329" w14:textId="5DDA204F" w:rsidR="000305FE" w:rsidRPr="0089139F" w:rsidRDefault="00F46AC9">
          <w:pPr>
            <w:pBdr>
              <w:top w:val="nil"/>
              <w:left w:val="nil"/>
              <w:bottom w:val="nil"/>
              <w:right w:val="nil"/>
              <w:between w:val="nil"/>
            </w:pBdr>
            <w:tabs>
              <w:tab w:val="right" w:pos="10055"/>
            </w:tabs>
            <w:ind w:left="480"/>
            <w:rPr>
              <w:rFonts w:ascii="Noto Sans" w:eastAsia="Century Gothic" w:hAnsi="Noto Sans" w:cs="Noto Sans"/>
              <w:color w:val="000000"/>
              <w:sz w:val="22"/>
              <w:szCs w:val="22"/>
            </w:rPr>
          </w:pPr>
          <w:hyperlink w:anchor="_heading=h.35nkun2">
            <w:r w:rsidR="00CB63D1" w:rsidRPr="0089139F">
              <w:rPr>
                <w:rFonts w:ascii="Noto Sans" w:eastAsia="Century Gothic" w:hAnsi="Noto Sans" w:cs="Noto Sans"/>
                <w:color w:val="000000"/>
                <w:sz w:val="22"/>
                <w:szCs w:val="22"/>
              </w:rPr>
              <w:t>4.3.3 Aportación del programa a los objetivos del Plan Nacional de Desarrollo y de la Institución</w:t>
            </w:r>
            <w:r w:rsidR="00CB63D1" w:rsidRPr="0089139F">
              <w:rPr>
                <w:rFonts w:ascii="Noto Sans" w:eastAsia="Century Gothic" w:hAnsi="Noto Sans" w:cs="Noto Sans"/>
                <w:color w:val="000000"/>
                <w:sz w:val="22"/>
                <w:szCs w:val="22"/>
              </w:rPr>
              <w:tab/>
            </w:r>
            <w:r w:rsidR="008C789D" w:rsidRPr="0089139F">
              <w:rPr>
                <w:rFonts w:ascii="Noto Sans" w:eastAsia="Century Gothic" w:hAnsi="Noto Sans" w:cs="Noto Sans"/>
                <w:color w:val="000000"/>
                <w:sz w:val="22"/>
                <w:szCs w:val="22"/>
              </w:rPr>
              <w:t>32</w:t>
            </w:r>
          </w:hyperlink>
        </w:p>
        <w:p w14:paraId="2B73C600" w14:textId="11A45C13" w:rsidR="000305FE" w:rsidRPr="0089139F" w:rsidRDefault="00F46AC9">
          <w:pPr>
            <w:pBdr>
              <w:top w:val="nil"/>
              <w:left w:val="nil"/>
              <w:bottom w:val="nil"/>
              <w:right w:val="nil"/>
              <w:between w:val="nil"/>
            </w:pBdr>
            <w:tabs>
              <w:tab w:val="right" w:pos="10055"/>
            </w:tabs>
            <w:ind w:left="240"/>
            <w:rPr>
              <w:rFonts w:ascii="Noto Sans" w:eastAsia="Century Gothic" w:hAnsi="Noto Sans" w:cs="Noto Sans"/>
              <w:color w:val="000000"/>
              <w:sz w:val="22"/>
              <w:szCs w:val="22"/>
            </w:rPr>
          </w:pPr>
          <w:hyperlink w:anchor="_heading=h.1ksv4uv">
            <w:r w:rsidR="00CB63D1" w:rsidRPr="0089139F">
              <w:rPr>
                <w:rFonts w:ascii="Noto Sans" w:eastAsia="Century Gothic" w:hAnsi="Noto Sans" w:cs="Noto Sans"/>
                <w:color w:val="000000"/>
                <w:sz w:val="22"/>
                <w:szCs w:val="22"/>
              </w:rPr>
              <w:t>4.4 Cobertura</w:t>
            </w:r>
            <w:r w:rsidR="00CB63D1" w:rsidRPr="0089139F">
              <w:rPr>
                <w:rFonts w:ascii="Noto Sans" w:eastAsia="Century Gothic" w:hAnsi="Noto Sans" w:cs="Noto Sans"/>
                <w:color w:val="000000"/>
                <w:sz w:val="22"/>
                <w:szCs w:val="22"/>
              </w:rPr>
              <w:tab/>
            </w:r>
            <w:r w:rsidR="004F2E8B" w:rsidRPr="0089139F">
              <w:rPr>
                <w:rFonts w:ascii="Noto Sans" w:eastAsia="Century Gothic" w:hAnsi="Noto Sans" w:cs="Noto Sans"/>
                <w:color w:val="000000"/>
                <w:sz w:val="22"/>
                <w:szCs w:val="22"/>
              </w:rPr>
              <w:t>36</w:t>
            </w:r>
          </w:hyperlink>
        </w:p>
        <w:p w14:paraId="137FBA21" w14:textId="2449940C" w:rsidR="000305FE" w:rsidRPr="0089139F" w:rsidRDefault="00F46AC9">
          <w:pPr>
            <w:pBdr>
              <w:top w:val="nil"/>
              <w:left w:val="nil"/>
              <w:bottom w:val="nil"/>
              <w:right w:val="nil"/>
              <w:between w:val="nil"/>
            </w:pBdr>
            <w:tabs>
              <w:tab w:val="right" w:pos="10055"/>
            </w:tabs>
            <w:ind w:left="480"/>
            <w:rPr>
              <w:rFonts w:ascii="Noto Sans" w:eastAsia="Century Gothic" w:hAnsi="Noto Sans" w:cs="Noto Sans"/>
              <w:color w:val="000000"/>
              <w:sz w:val="22"/>
              <w:szCs w:val="22"/>
            </w:rPr>
          </w:pPr>
          <w:hyperlink w:anchor="_heading=h.44sinio">
            <w:r w:rsidR="00CB63D1" w:rsidRPr="0089139F">
              <w:rPr>
                <w:rFonts w:ascii="Noto Sans" w:eastAsia="Century Gothic" w:hAnsi="Noto Sans" w:cs="Noto Sans"/>
                <w:color w:val="000000"/>
                <w:sz w:val="22"/>
                <w:szCs w:val="22"/>
              </w:rPr>
              <w:t>4.4.1 Identificación y caracterización de la población o área de enfoque potencial</w:t>
            </w:r>
            <w:r w:rsidR="00CB63D1" w:rsidRPr="0089139F">
              <w:rPr>
                <w:rFonts w:ascii="Noto Sans" w:eastAsia="Century Gothic" w:hAnsi="Noto Sans" w:cs="Noto Sans"/>
                <w:color w:val="000000"/>
                <w:sz w:val="22"/>
                <w:szCs w:val="22"/>
              </w:rPr>
              <w:tab/>
            </w:r>
            <w:r w:rsidR="004F2E8B" w:rsidRPr="0089139F">
              <w:rPr>
                <w:rFonts w:ascii="Noto Sans" w:eastAsia="Century Gothic" w:hAnsi="Noto Sans" w:cs="Noto Sans"/>
                <w:color w:val="000000"/>
                <w:sz w:val="22"/>
                <w:szCs w:val="22"/>
              </w:rPr>
              <w:t>36</w:t>
            </w:r>
          </w:hyperlink>
        </w:p>
        <w:p w14:paraId="26144C72" w14:textId="3DE677BD" w:rsidR="000305FE" w:rsidRPr="0089139F" w:rsidRDefault="00F46AC9">
          <w:pPr>
            <w:pBdr>
              <w:top w:val="nil"/>
              <w:left w:val="nil"/>
              <w:bottom w:val="nil"/>
              <w:right w:val="nil"/>
              <w:between w:val="nil"/>
            </w:pBdr>
            <w:tabs>
              <w:tab w:val="right" w:pos="10055"/>
            </w:tabs>
            <w:ind w:left="480"/>
            <w:rPr>
              <w:rFonts w:ascii="Noto Sans" w:eastAsia="Century Gothic" w:hAnsi="Noto Sans" w:cs="Noto Sans"/>
              <w:color w:val="000000"/>
              <w:sz w:val="22"/>
              <w:szCs w:val="22"/>
            </w:rPr>
          </w:pPr>
          <w:hyperlink w:anchor="_heading=h.2jxsxqh">
            <w:r w:rsidR="00CB63D1" w:rsidRPr="0089139F">
              <w:rPr>
                <w:rFonts w:ascii="Noto Sans" w:eastAsia="Century Gothic" w:hAnsi="Noto Sans" w:cs="Noto Sans"/>
                <w:color w:val="000000"/>
                <w:sz w:val="22"/>
                <w:szCs w:val="22"/>
              </w:rPr>
              <w:t>4.4.2 Identificación y caracterización de la población o área de enfoque objetivo</w:t>
            </w:r>
            <w:r w:rsidR="00CB63D1" w:rsidRPr="0089139F">
              <w:rPr>
                <w:rFonts w:ascii="Noto Sans" w:eastAsia="Century Gothic" w:hAnsi="Noto Sans" w:cs="Noto Sans"/>
                <w:color w:val="000000"/>
                <w:sz w:val="22"/>
                <w:szCs w:val="22"/>
              </w:rPr>
              <w:tab/>
            </w:r>
            <w:r w:rsidR="004F2E8B" w:rsidRPr="0089139F">
              <w:rPr>
                <w:rFonts w:ascii="Noto Sans" w:eastAsia="Century Gothic" w:hAnsi="Noto Sans" w:cs="Noto Sans"/>
                <w:color w:val="000000"/>
                <w:sz w:val="22"/>
                <w:szCs w:val="22"/>
              </w:rPr>
              <w:t>36</w:t>
            </w:r>
          </w:hyperlink>
        </w:p>
        <w:p w14:paraId="73C57DB0" w14:textId="3D8BBF29" w:rsidR="000305FE" w:rsidRPr="0089139F" w:rsidRDefault="00F46AC9">
          <w:pPr>
            <w:pBdr>
              <w:top w:val="nil"/>
              <w:left w:val="nil"/>
              <w:bottom w:val="nil"/>
              <w:right w:val="nil"/>
              <w:between w:val="nil"/>
            </w:pBdr>
            <w:tabs>
              <w:tab w:val="right" w:pos="10055"/>
            </w:tabs>
            <w:ind w:left="480"/>
            <w:rPr>
              <w:rFonts w:ascii="Noto Sans" w:eastAsia="Century Gothic" w:hAnsi="Noto Sans" w:cs="Noto Sans"/>
              <w:color w:val="000000"/>
              <w:sz w:val="22"/>
              <w:szCs w:val="22"/>
            </w:rPr>
          </w:pPr>
          <w:hyperlink w:anchor="_heading=h.z337ya">
            <w:r w:rsidR="00CB63D1" w:rsidRPr="0089139F">
              <w:rPr>
                <w:rFonts w:ascii="Noto Sans" w:eastAsia="Century Gothic" w:hAnsi="Noto Sans" w:cs="Noto Sans"/>
                <w:color w:val="000000"/>
                <w:sz w:val="22"/>
                <w:szCs w:val="22"/>
              </w:rPr>
              <w:t>4.4.3 Cuantificación de la población o área de enfoque objetivo</w:t>
            </w:r>
            <w:r w:rsidR="00CB63D1" w:rsidRPr="0089139F">
              <w:rPr>
                <w:rFonts w:ascii="Noto Sans" w:eastAsia="Century Gothic" w:hAnsi="Noto Sans" w:cs="Noto Sans"/>
                <w:color w:val="000000"/>
                <w:sz w:val="22"/>
                <w:szCs w:val="22"/>
              </w:rPr>
              <w:tab/>
            </w:r>
            <w:r w:rsidR="004F2E8B" w:rsidRPr="0089139F">
              <w:rPr>
                <w:rFonts w:ascii="Noto Sans" w:eastAsia="Century Gothic" w:hAnsi="Noto Sans" w:cs="Noto Sans"/>
                <w:color w:val="000000"/>
                <w:sz w:val="22"/>
                <w:szCs w:val="22"/>
              </w:rPr>
              <w:t>37</w:t>
            </w:r>
          </w:hyperlink>
        </w:p>
        <w:p w14:paraId="7A73C5B1" w14:textId="5FDE72E3" w:rsidR="000305FE" w:rsidRPr="0089139F" w:rsidRDefault="00F46AC9">
          <w:pPr>
            <w:pBdr>
              <w:top w:val="nil"/>
              <w:left w:val="nil"/>
              <w:bottom w:val="nil"/>
              <w:right w:val="nil"/>
              <w:between w:val="nil"/>
            </w:pBdr>
            <w:tabs>
              <w:tab w:val="right" w:pos="10055"/>
            </w:tabs>
            <w:ind w:left="480"/>
            <w:rPr>
              <w:rFonts w:ascii="Noto Sans" w:eastAsia="Century Gothic" w:hAnsi="Noto Sans" w:cs="Noto Sans"/>
              <w:color w:val="000000"/>
              <w:sz w:val="22"/>
              <w:szCs w:val="22"/>
            </w:rPr>
          </w:pPr>
          <w:hyperlink w:anchor="_heading=h.3j2qqm3">
            <w:r w:rsidR="00CB63D1" w:rsidRPr="0089139F">
              <w:rPr>
                <w:rFonts w:ascii="Noto Sans" w:eastAsia="Century Gothic" w:hAnsi="Noto Sans" w:cs="Noto Sans"/>
                <w:color w:val="000000"/>
                <w:sz w:val="22"/>
                <w:szCs w:val="22"/>
              </w:rPr>
              <w:t>4.4.4 Frecuencia de actualización de la población o área de enfoque potencial y objetivo</w:t>
            </w:r>
            <w:r w:rsidR="00CB63D1" w:rsidRPr="0089139F">
              <w:rPr>
                <w:rFonts w:ascii="Noto Sans" w:eastAsia="Century Gothic" w:hAnsi="Noto Sans" w:cs="Noto Sans"/>
                <w:color w:val="000000"/>
                <w:sz w:val="22"/>
                <w:szCs w:val="22"/>
              </w:rPr>
              <w:tab/>
            </w:r>
            <w:r w:rsidR="004F2E8B" w:rsidRPr="0089139F">
              <w:rPr>
                <w:rFonts w:ascii="Noto Sans" w:eastAsia="Century Gothic" w:hAnsi="Noto Sans" w:cs="Noto Sans"/>
                <w:color w:val="000000"/>
                <w:sz w:val="22"/>
                <w:szCs w:val="22"/>
              </w:rPr>
              <w:t>37</w:t>
            </w:r>
          </w:hyperlink>
        </w:p>
        <w:p w14:paraId="467401C6" w14:textId="32668897" w:rsidR="000305FE" w:rsidRPr="0089139F" w:rsidRDefault="00F46AC9">
          <w:pPr>
            <w:pBdr>
              <w:top w:val="nil"/>
              <w:left w:val="nil"/>
              <w:bottom w:val="nil"/>
              <w:right w:val="nil"/>
              <w:between w:val="nil"/>
            </w:pBdr>
            <w:tabs>
              <w:tab w:val="right" w:pos="10055"/>
            </w:tabs>
            <w:ind w:left="240"/>
            <w:rPr>
              <w:rFonts w:ascii="Noto Sans" w:eastAsia="Century Gothic" w:hAnsi="Noto Sans" w:cs="Noto Sans"/>
              <w:color w:val="000000"/>
              <w:sz w:val="22"/>
              <w:szCs w:val="22"/>
            </w:rPr>
          </w:pPr>
          <w:hyperlink w:anchor="_heading=h.1y810tw">
            <w:r w:rsidR="00CB63D1" w:rsidRPr="0089139F">
              <w:rPr>
                <w:rFonts w:ascii="Noto Sans" w:eastAsia="Century Gothic" w:hAnsi="Noto Sans" w:cs="Noto Sans"/>
                <w:color w:val="000000"/>
                <w:sz w:val="22"/>
                <w:szCs w:val="22"/>
              </w:rPr>
              <w:t>4.5. Análisis de alternativas</w:t>
            </w:r>
            <w:r w:rsidR="00CB63D1" w:rsidRPr="0089139F">
              <w:rPr>
                <w:rFonts w:ascii="Noto Sans" w:eastAsia="Century Gothic" w:hAnsi="Noto Sans" w:cs="Noto Sans"/>
                <w:color w:val="000000"/>
                <w:sz w:val="22"/>
                <w:szCs w:val="22"/>
              </w:rPr>
              <w:tab/>
            </w:r>
            <w:r w:rsidR="004F2E8B" w:rsidRPr="0089139F">
              <w:rPr>
                <w:rFonts w:ascii="Noto Sans" w:eastAsia="Century Gothic" w:hAnsi="Noto Sans" w:cs="Noto Sans"/>
                <w:color w:val="000000"/>
                <w:sz w:val="22"/>
                <w:szCs w:val="22"/>
              </w:rPr>
              <w:t>37</w:t>
            </w:r>
          </w:hyperlink>
        </w:p>
        <w:p w14:paraId="6B74E71D" w14:textId="35901494" w:rsidR="000305FE" w:rsidRPr="0089139F" w:rsidRDefault="00F46AC9">
          <w:pPr>
            <w:pBdr>
              <w:top w:val="nil"/>
              <w:left w:val="nil"/>
              <w:bottom w:val="nil"/>
              <w:right w:val="nil"/>
              <w:between w:val="nil"/>
            </w:pBdr>
            <w:tabs>
              <w:tab w:val="right" w:pos="10055"/>
              <w:tab w:val="left" w:pos="880"/>
            </w:tabs>
            <w:ind w:left="240"/>
            <w:rPr>
              <w:rFonts w:ascii="Noto Sans" w:eastAsia="Century Gothic" w:hAnsi="Noto Sans" w:cs="Noto Sans"/>
              <w:color w:val="000000"/>
              <w:sz w:val="22"/>
              <w:szCs w:val="22"/>
            </w:rPr>
          </w:pPr>
          <w:hyperlink w:anchor="_heading=h.4i7ojhp">
            <w:r w:rsidR="00EB69DE" w:rsidRPr="0089139F">
              <w:rPr>
                <w:rFonts w:ascii="Noto Sans" w:eastAsia="Century Gothic" w:hAnsi="Noto Sans" w:cs="Noto Sans"/>
                <w:color w:val="000000"/>
                <w:sz w:val="22"/>
                <w:szCs w:val="22"/>
              </w:rPr>
              <w:t xml:space="preserve">4.6 </w:t>
            </w:r>
            <w:r w:rsidR="00CB63D1" w:rsidRPr="0089139F">
              <w:rPr>
                <w:rFonts w:ascii="Noto Sans" w:eastAsia="Century Gothic" w:hAnsi="Noto Sans" w:cs="Noto Sans"/>
                <w:color w:val="000000"/>
                <w:sz w:val="22"/>
                <w:szCs w:val="22"/>
              </w:rPr>
              <w:t>Diseño del programa</w:t>
            </w:r>
            <w:r w:rsidR="00CB63D1" w:rsidRPr="0089139F">
              <w:rPr>
                <w:rFonts w:ascii="Noto Sans" w:eastAsia="Century Gothic" w:hAnsi="Noto Sans" w:cs="Noto Sans"/>
                <w:color w:val="000000"/>
                <w:sz w:val="22"/>
                <w:szCs w:val="22"/>
              </w:rPr>
              <w:tab/>
            </w:r>
            <w:r w:rsidR="004F2E8B" w:rsidRPr="0089139F">
              <w:rPr>
                <w:rFonts w:ascii="Noto Sans" w:eastAsia="Century Gothic" w:hAnsi="Noto Sans" w:cs="Noto Sans"/>
                <w:color w:val="000000"/>
                <w:sz w:val="22"/>
                <w:szCs w:val="22"/>
              </w:rPr>
              <w:t>38</w:t>
            </w:r>
          </w:hyperlink>
        </w:p>
        <w:p w14:paraId="7ED329BC" w14:textId="013104BB" w:rsidR="000305FE" w:rsidRPr="0089139F" w:rsidRDefault="00EB69DE">
          <w:pPr>
            <w:pBdr>
              <w:top w:val="nil"/>
              <w:left w:val="nil"/>
              <w:bottom w:val="nil"/>
              <w:right w:val="nil"/>
              <w:between w:val="nil"/>
            </w:pBdr>
            <w:tabs>
              <w:tab w:val="right" w:pos="10055"/>
            </w:tabs>
            <w:ind w:left="480"/>
            <w:rPr>
              <w:rFonts w:ascii="Noto Sans" w:eastAsia="Century Gothic" w:hAnsi="Noto Sans" w:cs="Noto Sans"/>
              <w:color w:val="000000"/>
              <w:sz w:val="22"/>
              <w:szCs w:val="22"/>
            </w:rPr>
          </w:pPr>
          <w:r w:rsidRPr="0089139F">
            <w:rPr>
              <w:rFonts w:ascii="Noto Sans" w:hAnsi="Noto Sans" w:cs="Noto Sans"/>
            </w:rPr>
            <w:t xml:space="preserve">   </w:t>
          </w:r>
          <w:hyperlink w:anchor="_heading=h.2xcytpi">
            <w:r w:rsidR="00CB63D1" w:rsidRPr="0089139F">
              <w:rPr>
                <w:rFonts w:ascii="Noto Sans" w:eastAsia="Century Gothic" w:hAnsi="Noto Sans" w:cs="Noto Sans"/>
                <w:color w:val="000000"/>
                <w:sz w:val="22"/>
                <w:szCs w:val="22"/>
              </w:rPr>
              <w:t>4.6.1 Modalidad del programa</w:t>
            </w:r>
            <w:r w:rsidR="00CB63D1" w:rsidRPr="0089139F">
              <w:rPr>
                <w:rFonts w:ascii="Noto Sans" w:eastAsia="Century Gothic" w:hAnsi="Noto Sans" w:cs="Noto Sans"/>
                <w:color w:val="000000"/>
                <w:sz w:val="22"/>
                <w:szCs w:val="22"/>
              </w:rPr>
              <w:tab/>
            </w:r>
            <w:r w:rsidR="004F2E8B" w:rsidRPr="0089139F">
              <w:rPr>
                <w:rFonts w:ascii="Noto Sans" w:eastAsia="Century Gothic" w:hAnsi="Noto Sans" w:cs="Noto Sans"/>
                <w:color w:val="000000"/>
                <w:sz w:val="22"/>
                <w:szCs w:val="22"/>
              </w:rPr>
              <w:t>38</w:t>
            </w:r>
          </w:hyperlink>
        </w:p>
        <w:p w14:paraId="05F50836" w14:textId="07310B97" w:rsidR="000305FE" w:rsidRPr="0089139F" w:rsidRDefault="00EB69DE">
          <w:pPr>
            <w:pBdr>
              <w:top w:val="nil"/>
              <w:left w:val="nil"/>
              <w:bottom w:val="nil"/>
              <w:right w:val="nil"/>
              <w:between w:val="nil"/>
            </w:pBdr>
            <w:tabs>
              <w:tab w:val="right" w:pos="10055"/>
            </w:tabs>
            <w:ind w:left="480"/>
            <w:rPr>
              <w:rFonts w:ascii="Noto Sans" w:eastAsia="Century Gothic" w:hAnsi="Noto Sans" w:cs="Noto Sans"/>
              <w:color w:val="000000"/>
              <w:sz w:val="22"/>
              <w:szCs w:val="22"/>
            </w:rPr>
          </w:pPr>
          <w:r w:rsidRPr="0089139F">
            <w:rPr>
              <w:rFonts w:ascii="Noto Sans" w:hAnsi="Noto Sans" w:cs="Noto Sans"/>
            </w:rPr>
            <w:t xml:space="preserve">              </w:t>
          </w:r>
          <w:hyperlink w:anchor="_heading=h.1ci93xb">
            <w:r w:rsidR="00CB63D1" w:rsidRPr="0089139F">
              <w:rPr>
                <w:rFonts w:ascii="Noto Sans" w:eastAsia="Century Gothic" w:hAnsi="Noto Sans" w:cs="Noto Sans"/>
                <w:color w:val="000000"/>
                <w:sz w:val="22"/>
                <w:szCs w:val="22"/>
              </w:rPr>
              <w:t>4.6.2 Diseño del programa</w:t>
            </w:r>
            <w:r w:rsidR="00CB63D1" w:rsidRPr="0089139F">
              <w:rPr>
                <w:rFonts w:ascii="Noto Sans" w:eastAsia="Century Gothic" w:hAnsi="Noto Sans" w:cs="Noto Sans"/>
                <w:color w:val="000000"/>
                <w:sz w:val="22"/>
                <w:szCs w:val="22"/>
              </w:rPr>
              <w:tab/>
            </w:r>
            <w:r w:rsidR="004F2E8B" w:rsidRPr="0089139F">
              <w:rPr>
                <w:rFonts w:ascii="Noto Sans" w:eastAsia="Century Gothic" w:hAnsi="Noto Sans" w:cs="Noto Sans"/>
                <w:color w:val="000000"/>
                <w:sz w:val="22"/>
                <w:szCs w:val="22"/>
              </w:rPr>
              <w:t>38</w:t>
            </w:r>
          </w:hyperlink>
        </w:p>
        <w:p w14:paraId="2461C88A" w14:textId="77777777" w:rsidR="00EB69DE" w:rsidRPr="0089139F" w:rsidRDefault="00CB63D1">
          <w:pPr>
            <w:rPr>
              <w:rFonts w:ascii="Noto Sans" w:eastAsia="Century Gothic" w:hAnsi="Noto Sans" w:cs="Noto Sans"/>
              <w:sz w:val="22"/>
              <w:szCs w:val="22"/>
            </w:rPr>
          </w:pPr>
          <w:r w:rsidRPr="0089139F">
            <w:rPr>
              <w:rFonts w:ascii="Noto Sans" w:eastAsia="Century Gothic" w:hAnsi="Noto Sans" w:cs="Noto Sans"/>
              <w:sz w:val="22"/>
              <w:szCs w:val="22"/>
            </w:rPr>
            <w:t xml:space="preserve">        </w:t>
          </w:r>
          <w:r w:rsidR="00EB69DE" w:rsidRPr="0089139F">
            <w:rPr>
              <w:rFonts w:ascii="Noto Sans" w:eastAsia="Century Gothic" w:hAnsi="Noto Sans" w:cs="Noto Sans"/>
              <w:sz w:val="22"/>
              <w:szCs w:val="22"/>
            </w:rPr>
            <w:t xml:space="preserve">            </w:t>
          </w:r>
          <w:r w:rsidRPr="0089139F">
            <w:rPr>
              <w:rFonts w:ascii="Noto Sans" w:eastAsia="Century Gothic" w:hAnsi="Noto Sans" w:cs="Noto Sans"/>
              <w:sz w:val="22"/>
              <w:szCs w:val="22"/>
            </w:rPr>
            <w:t xml:space="preserve">4.6.2.1 Previsiones para la integración y operación del padrón de </w:t>
          </w:r>
          <w:r w:rsidR="00EB69DE" w:rsidRPr="0089139F">
            <w:rPr>
              <w:rFonts w:ascii="Noto Sans" w:eastAsia="Century Gothic" w:hAnsi="Noto Sans" w:cs="Noto Sans"/>
              <w:sz w:val="22"/>
              <w:szCs w:val="22"/>
            </w:rPr>
            <w:t xml:space="preserve">    </w:t>
          </w:r>
        </w:p>
        <w:p w14:paraId="2448BD49" w14:textId="396B314C" w:rsidR="000305FE" w:rsidRPr="0089139F" w:rsidRDefault="00EB69DE">
          <w:pPr>
            <w:rPr>
              <w:rFonts w:ascii="Noto Sans" w:eastAsia="Century Gothic" w:hAnsi="Noto Sans" w:cs="Noto Sans"/>
              <w:sz w:val="22"/>
              <w:szCs w:val="22"/>
            </w:rPr>
          </w:pPr>
          <w:r w:rsidRPr="0089139F">
            <w:rPr>
              <w:rFonts w:ascii="Noto Sans" w:eastAsia="Century Gothic" w:hAnsi="Noto Sans" w:cs="Noto Sans"/>
              <w:sz w:val="22"/>
              <w:szCs w:val="22"/>
            </w:rPr>
            <w:t xml:space="preserve">                                </w:t>
          </w:r>
          <w:r w:rsidR="00B51C8F" w:rsidRPr="0089139F">
            <w:rPr>
              <w:rFonts w:ascii="Noto Sans" w:eastAsia="Century Gothic" w:hAnsi="Noto Sans" w:cs="Noto Sans"/>
              <w:sz w:val="22"/>
              <w:szCs w:val="22"/>
            </w:rPr>
            <w:t>B</w:t>
          </w:r>
          <w:r w:rsidR="00CB63D1" w:rsidRPr="0089139F">
            <w:rPr>
              <w:rFonts w:ascii="Noto Sans" w:eastAsia="Century Gothic" w:hAnsi="Noto Sans" w:cs="Noto Sans"/>
              <w:sz w:val="22"/>
              <w:szCs w:val="22"/>
            </w:rPr>
            <w:t>eneficiario</w:t>
          </w:r>
          <w:r w:rsidR="002E762D" w:rsidRPr="0089139F">
            <w:rPr>
              <w:rFonts w:ascii="Noto Sans" w:eastAsia="Century Gothic" w:hAnsi="Noto Sans" w:cs="Noto Sans"/>
              <w:sz w:val="22"/>
              <w:szCs w:val="22"/>
            </w:rPr>
            <w:t>s</w:t>
          </w:r>
          <w:r w:rsidR="00B51C8F" w:rsidRPr="0089139F">
            <w:rPr>
              <w:rFonts w:ascii="Noto Sans" w:eastAsia="Century Gothic" w:hAnsi="Noto Sans" w:cs="Noto Sans"/>
              <w:sz w:val="22"/>
              <w:szCs w:val="22"/>
            </w:rPr>
            <w:tab/>
          </w:r>
          <w:r w:rsidR="00B51C8F" w:rsidRPr="0089139F">
            <w:rPr>
              <w:rFonts w:ascii="Noto Sans" w:eastAsia="Century Gothic" w:hAnsi="Noto Sans" w:cs="Noto Sans"/>
              <w:sz w:val="22"/>
              <w:szCs w:val="22"/>
            </w:rPr>
            <w:tab/>
          </w:r>
          <w:r w:rsidR="00B51C8F" w:rsidRPr="0089139F">
            <w:rPr>
              <w:rFonts w:ascii="Noto Sans" w:eastAsia="Century Gothic" w:hAnsi="Noto Sans" w:cs="Noto Sans"/>
              <w:sz w:val="22"/>
              <w:szCs w:val="22"/>
            </w:rPr>
            <w:tab/>
          </w:r>
          <w:r w:rsidR="00B51C8F" w:rsidRPr="0089139F">
            <w:rPr>
              <w:rFonts w:ascii="Noto Sans" w:eastAsia="Century Gothic" w:hAnsi="Noto Sans" w:cs="Noto Sans"/>
              <w:sz w:val="22"/>
              <w:szCs w:val="22"/>
            </w:rPr>
            <w:tab/>
          </w:r>
          <w:r w:rsidR="00B51C8F" w:rsidRPr="0089139F">
            <w:rPr>
              <w:rFonts w:ascii="Noto Sans" w:eastAsia="Century Gothic" w:hAnsi="Noto Sans" w:cs="Noto Sans"/>
              <w:sz w:val="22"/>
              <w:szCs w:val="22"/>
            </w:rPr>
            <w:tab/>
          </w:r>
          <w:r w:rsidR="00B51C8F" w:rsidRPr="0089139F">
            <w:rPr>
              <w:rFonts w:ascii="Noto Sans" w:eastAsia="Century Gothic" w:hAnsi="Noto Sans" w:cs="Noto Sans"/>
              <w:sz w:val="22"/>
              <w:szCs w:val="22"/>
            </w:rPr>
            <w:tab/>
          </w:r>
          <w:r w:rsidR="00B51C8F" w:rsidRPr="0089139F">
            <w:rPr>
              <w:rFonts w:ascii="Noto Sans" w:eastAsia="Century Gothic" w:hAnsi="Noto Sans" w:cs="Noto Sans"/>
              <w:sz w:val="22"/>
              <w:szCs w:val="22"/>
            </w:rPr>
            <w:tab/>
          </w:r>
          <w:r w:rsidR="00B51C8F" w:rsidRPr="0089139F">
            <w:rPr>
              <w:rFonts w:ascii="Noto Sans" w:eastAsia="Century Gothic" w:hAnsi="Noto Sans" w:cs="Noto Sans"/>
              <w:sz w:val="22"/>
              <w:szCs w:val="22"/>
            </w:rPr>
            <w:tab/>
          </w:r>
          <w:r w:rsidR="00B51C8F" w:rsidRPr="0089139F">
            <w:rPr>
              <w:rFonts w:ascii="Noto Sans" w:eastAsia="Century Gothic" w:hAnsi="Noto Sans" w:cs="Noto Sans"/>
              <w:sz w:val="22"/>
              <w:szCs w:val="22"/>
            </w:rPr>
            <w:tab/>
            <w:t xml:space="preserve">       40</w:t>
          </w:r>
        </w:p>
        <w:p w14:paraId="15925FCE" w14:textId="36737DE4" w:rsidR="000305FE" w:rsidRPr="0089139F" w:rsidRDefault="00EB69DE">
          <w:pPr>
            <w:pBdr>
              <w:top w:val="nil"/>
              <w:left w:val="nil"/>
              <w:bottom w:val="nil"/>
              <w:right w:val="nil"/>
              <w:between w:val="nil"/>
            </w:pBdr>
            <w:tabs>
              <w:tab w:val="right" w:pos="10055"/>
            </w:tabs>
            <w:ind w:left="480"/>
            <w:rPr>
              <w:rFonts w:ascii="Noto Sans" w:eastAsia="Century Gothic" w:hAnsi="Noto Sans" w:cs="Noto Sans"/>
              <w:color w:val="000000"/>
              <w:sz w:val="22"/>
              <w:szCs w:val="22"/>
            </w:rPr>
          </w:pPr>
          <w:r w:rsidRPr="0089139F">
            <w:rPr>
              <w:rFonts w:ascii="Noto Sans" w:hAnsi="Noto Sans" w:cs="Noto Sans"/>
            </w:rPr>
            <w:t xml:space="preserve">               </w:t>
          </w:r>
          <w:hyperlink w:anchor="_heading=h.2bn6wsx">
            <w:r w:rsidR="002E762D" w:rsidRPr="0089139F">
              <w:rPr>
                <w:rFonts w:ascii="Noto Sans" w:eastAsia="Century Gothic" w:hAnsi="Noto Sans" w:cs="Noto Sans"/>
                <w:color w:val="000000"/>
                <w:sz w:val="22"/>
                <w:szCs w:val="22"/>
              </w:rPr>
              <w:t>4.6.3 Matriz de Indic</w:t>
            </w:r>
            <w:r w:rsidR="00CB63D1" w:rsidRPr="0089139F">
              <w:rPr>
                <w:rFonts w:ascii="Noto Sans" w:eastAsia="Century Gothic" w:hAnsi="Noto Sans" w:cs="Noto Sans"/>
                <w:color w:val="000000"/>
                <w:sz w:val="22"/>
                <w:szCs w:val="22"/>
              </w:rPr>
              <w:t>adores de Resultados</w:t>
            </w:r>
            <w:r w:rsidR="00CB63D1" w:rsidRPr="0089139F">
              <w:rPr>
                <w:rFonts w:ascii="Noto Sans" w:eastAsia="Century Gothic" w:hAnsi="Noto Sans" w:cs="Noto Sans"/>
                <w:color w:val="000000"/>
                <w:sz w:val="22"/>
                <w:szCs w:val="22"/>
              </w:rPr>
              <w:tab/>
            </w:r>
            <w:r w:rsidR="00B51C8F" w:rsidRPr="0089139F">
              <w:rPr>
                <w:rFonts w:ascii="Noto Sans" w:eastAsia="Century Gothic" w:hAnsi="Noto Sans" w:cs="Noto Sans"/>
                <w:color w:val="000000"/>
                <w:sz w:val="22"/>
                <w:szCs w:val="22"/>
              </w:rPr>
              <w:t>41</w:t>
            </w:r>
          </w:hyperlink>
        </w:p>
        <w:p w14:paraId="2B7223D9" w14:textId="57FA3585" w:rsidR="000305FE" w:rsidRPr="0089139F" w:rsidRDefault="00F46AC9">
          <w:pPr>
            <w:pBdr>
              <w:top w:val="nil"/>
              <w:left w:val="nil"/>
              <w:bottom w:val="nil"/>
              <w:right w:val="nil"/>
              <w:between w:val="nil"/>
            </w:pBdr>
            <w:tabs>
              <w:tab w:val="right" w:pos="10055"/>
              <w:tab w:val="left" w:pos="880"/>
            </w:tabs>
            <w:ind w:left="240"/>
            <w:rPr>
              <w:rFonts w:ascii="Noto Sans" w:eastAsia="Century Gothic" w:hAnsi="Noto Sans" w:cs="Noto Sans"/>
              <w:color w:val="000000"/>
              <w:sz w:val="22"/>
              <w:szCs w:val="22"/>
            </w:rPr>
          </w:pPr>
          <w:hyperlink w:anchor="_heading=h.3as4poj">
            <w:r w:rsidR="00CB63D1" w:rsidRPr="0089139F">
              <w:rPr>
                <w:rFonts w:ascii="Noto Sans" w:eastAsia="Century Gothic" w:hAnsi="Noto Sans" w:cs="Noto Sans"/>
                <w:color w:val="000000"/>
                <w:sz w:val="22"/>
                <w:szCs w:val="22"/>
              </w:rPr>
              <w:t>4.7</w:t>
            </w:r>
            <w:r w:rsidR="00EB69DE" w:rsidRPr="0089139F">
              <w:rPr>
                <w:rFonts w:ascii="Noto Sans" w:eastAsia="Century Gothic" w:hAnsi="Noto Sans" w:cs="Noto Sans"/>
                <w:color w:val="000000"/>
                <w:sz w:val="22"/>
                <w:szCs w:val="22"/>
              </w:rPr>
              <w:t xml:space="preserve"> </w:t>
            </w:r>
            <w:r w:rsidR="00CB63D1" w:rsidRPr="0089139F">
              <w:rPr>
                <w:rFonts w:ascii="Noto Sans" w:eastAsia="Century Gothic" w:hAnsi="Noto Sans" w:cs="Noto Sans"/>
                <w:color w:val="000000"/>
                <w:sz w:val="22"/>
                <w:szCs w:val="22"/>
              </w:rPr>
              <w:t>Análisis de similitudes o complementariedades</w:t>
            </w:r>
            <w:r w:rsidR="00CB63D1" w:rsidRPr="0089139F">
              <w:rPr>
                <w:rFonts w:ascii="Noto Sans" w:eastAsia="Century Gothic" w:hAnsi="Noto Sans" w:cs="Noto Sans"/>
                <w:color w:val="000000"/>
                <w:sz w:val="22"/>
                <w:szCs w:val="22"/>
              </w:rPr>
              <w:tab/>
            </w:r>
            <w:r w:rsidR="00B51C8F" w:rsidRPr="0089139F">
              <w:rPr>
                <w:rFonts w:ascii="Noto Sans" w:eastAsia="Century Gothic" w:hAnsi="Noto Sans" w:cs="Noto Sans"/>
                <w:color w:val="000000"/>
                <w:sz w:val="22"/>
                <w:szCs w:val="22"/>
              </w:rPr>
              <w:t>41</w:t>
            </w:r>
          </w:hyperlink>
        </w:p>
        <w:p w14:paraId="54D616A5" w14:textId="539EB759" w:rsidR="000305FE" w:rsidRPr="0089139F" w:rsidRDefault="00F46AC9">
          <w:pPr>
            <w:pBdr>
              <w:top w:val="nil"/>
              <w:left w:val="nil"/>
              <w:bottom w:val="nil"/>
              <w:right w:val="nil"/>
              <w:between w:val="nil"/>
            </w:pBdr>
            <w:tabs>
              <w:tab w:val="right" w:pos="10055"/>
            </w:tabs>
            <w:ind w:left="240"/>
            <w:rPr>
              <w:rFonts w:ascii="Noto Sans" w:eastAsia="Century Gothic" w:hAnsi="Noto Sans" w:cs="Noto Sans"/>
              <w:color w:val="000000"/>
              <w:sz w:val="22"/>
              <w:szCs w:val="22"/>
            </w:rPr>
          </w:pPr>
          <w:hyperlink w:anchor="_heading=h.1pxezwc">
            <w:r w:rsidR="00CB63D1" w:rsidRPr="0089139F">
              <w:rPr>
                <w:rFonts w:ascii="Noto Sans" w:eastAsia="Century Gothic" w:hAnsi="Noto Sans" w:cs="Noto Sans"/>
                <w:color w:val="000000"/>
                <w:sz w:val="22"/>
                <w:szCs w:val="22"/>
              </w:rPr>
              <w:t>4.8 Presupuesto</w:t>
            </w:r>
            <w:r w:rsidR="00CB63D1" w:rsidRPr="0089139F">
              <w:rPr>
                <w:rFonts w:ascii="Noto Sans" w:eastAsia="Century Gothic" w:hAnsi="Noto Sans" w:cs="Noto Sans"/>
                <w:color w:val="000000"/>
                <w:sz w:val="22"/>
                <w:szCs w:val="22"/>
              </w:rPr>
              <w:tab/>
            </w:r>
            <w:r w:rsidR="00B51C8F" w:rsidRPr="0089139F">
              <w:rPr>
                <w:rFonts w:ascii="Noto Sans" w:eastAsia="Century Gothic" w:hAnsi="Noto Sans" w:cs="Noto Sans"/>
                <w:color w:val="000000"/>
                <w:sz w:val="22"/>
                <w:szCs w:val="22"/>
              </w:rPr>
              <w:t>42</w:t>
            </w:r>
          </w:hyperlink>
        </w:p>
        <w:p w14:paraId="342F977A" w14:textId="6FF06367" w:rsidR="000305FE" w:rsidRPr="0089139F" w:rsidRDefault="009C5496">
          <w:pPr>
            <w:pBdr>
              <w:top w:val="nil"/>
              <w:left w:val="nil"/>
              <w:bottom w:val="nil"/>
              <w:right w:val="nil"/>
              <w:between w:val="nil"/>
            </w:pBdr>
            <w:tabs>
              <w:tab w:val="right" w:pos="10055"/>
            </w:tabs>
            <w:rPr>
              <w:rFonts w:ascii="Noto Sans" w:eastAsia="Century Gothic" w:hAnsi="Noto Sans" w:cs="Noto Sans"/>
              <w:color w:val="000000"/>
              <w:sz w:val="22"/>
              <w:szCs w:val="22"/>
            </w:rPr>
          </w:pPr>
          <w:r w:rsidRPr="0089139F">
            <w:rPr>
              <w:rFonts w:ascii="Noto Sans" w:hAnsi="Noto Sans" w:cs="Noto Sans"/>
              <w:sz w:val="22"/>
              <w:szCs w:val="22"/>
            </w:rPr>
            <w:t xml:space="preserve">5 </w:t>
          </w:r>
          <w:r w:rsidR="00EB69DE" w:rsidRPr="0089139F">
            <w:rPr>
              <w:rFonts w:ascii="Noto Sans" w:hAnsi="Noto Sans" w:cs="Noto Sans"/>
              <w:sz w:val="22"/>
              <w:szCs w:val="22"/>
            </w:rPr>
            <w:t xml:space="preserve"> </w:t>
          </w:r>
          <w:hyperlink w:anchor="_heading=h.49x2ik5">
            <w:r w:rsidR="00CB63D1" w:rsidRPr="0089139F">
              <w:rPr>
                <w:rFonts w:ascii="Noto Sans" w:eastAsia="Century Gothic" w:hAnsi="Noto Sans" w:cs="Noto Sans"/>
                <w:color w:val="000000"/>
                <w:sz w:val="22"/>
                <w:szCs w:val="22"/>
              </w:rPr>
              <w:t>Referencias</w:t>
            </w:r>
            <w:r w:rsidR="00CB63D1" w:rsidRPr="0089139F">
              <w:rPr>
                <w:rFonts w:ascii="Noto Sans" w:eastAsia="Century Gothic" w:hAnsi="Noto Sans" w:cs="Noto Sans"/>
                <w:color w:val="000000"/>
                <w:sz w:val="22"/>
                <w:szCs w:val="22"/>
              </w:rPr>
              <w:tab/>
            </w:r>
            <w:r w:rsidR="00B51C8F" w:rsidRPr="0089139F">
              <w:rPr>
                <w:rFonts w:ascii="Noto Sans" w:eastAsia="Century Gothic" w:hAnsi="Noto Sans" w:cs="Noto Sans"/>
                <w:color w:val="000000"/>
                <w:sz w:val="22"/>
                <w:szCs w:val="22"/>
              </w:rPr>
              <w:t>43</w:t>
            </w:r>
          </w:hyperlink>
        </w:p>
        <w:p w14:paraId="20D2ED80" w14:textId="019393F4" w:rsidR="000305FE" w:rsidRPr="0089139F" w:rsidRDefault="00F46AC9">
          <w:pPr>
            <w:rPr>
              <w:rFonts w:ascii="Noto Sans" w:eastAsia="Century Gothic" w:hAnsi="Noto Sans" w:cs="Noto Sans"/>
              <w:sz w:val="22"/>
              <w:szCs w:val="22"/>
            </w:rPr>
          </w:pPr>
        </w:p>
      </w:sdtContent>
    </w:sdt>
    <w:p w14:paraId="56EE1A98" w14:textId="4D7835C9" w:rsidR="000305FE" w:rsidRPr="0089139F" w:rsidRDefault="000305FE">
      <w:pPr>
        <w:rPr>
          <w:rFonts w:ascii="Noto Sans" w:eastAsia="Century Gothic" w:hAnsi="Noto Sans" w:cs="Noto Sans"/>
          <w:sz w:val="22"/>
          <w:szCs w:val="22"/>
        </w:rPr>
      </w:pPr>
    </w:p>
    <w:p w14:paraId="17B440E8" w14:textId="11346291" w:rsidR="00E24EE1" w:rsidRPr="0089139F" w:rsidRDefault="00E24EE1">
      <w:pPr>
        <w:rPr>
          <w:rFonts w:ascii="Noto Sans" w:eastAsia="Century Gothic" w:hAnsi="Noto Sans" w:cs="Noto Sans"/>
          <w:sz w:val="22"/>
          <w:szCs w:val="22"/>
        </w:rPr>
      </w:pPr>
    </w:p>
    <w:p w14:paraId="21B60515" w14:textId="77777777" w:rsidR="009C2AFC" w:rsidRPr="0089139F" w:rsidRDefault="009C2AFC">
      <w:pPr>
        <w:rPr>
          <w:rFonts w:ascii="Noto Sans" w:eastAsia="Century Gothic" w:hAnsi="Noto Sans" w:cs="Noto Sans"/>
          <w:sz w:val="22"/>
          <w:szCs w:val="22"/>
        </w:rPr>
      </w:pPr>
    </w:p>
    <w:p w14:paraId="78C0A80C" w14:textId="5FDA4B98" w:rsidR="000305FE" w:rsidRPr="0089139F" w:rsidRDefault="00CB63D1" w:rsidP="0087754A">
      <w:pPr>
        <w:pStyle w:val="Ttulo1"/>
        <w:spacing w:after="120" w:line="360" w:lineRule="auto"/>
        <w:rPr>
          <w:rFonts w:ascii="Noto Sans" w:eastAsia="Century Gothic" w:hAnsi="Noto Sans" w:cs="Noto Sans"/>
          <w:sz w:val="22"/>
          <w:szCs w:val="22"/>
        </w:rPr>
      </w:pPr>
      <w:bookmarkStart w:id="1" w:name="_heading=h.gjdgxs" w:colFirst="0" w:colLast="0"/>
      <w:bookmarkEnd w:id="1"/>
      <w:r w:rsidRPr="0089139F">
        <w:rPr>
          <w:rFonts w:ascii="Noto Sans" w:eastAsia="Century Gothic" w:hAnsi="Noto Sans" w:cs="Noto Sans"/>
          <w:sz w:val="22"/>
          <w:szCs w:val="22"/>
        </w:rPr>
        <w:lastRenderedPageBreak/>
        <w:t xml:space="preserve">1. Introducción </w:t>
      </w:r>
    </w:p>
    <w:p w14:paraId="047B310C" w14:textId="6E1D9828" w:rsidR="000305FE" w:rsidRPr="0089139F" w:rsidRDefault="00CB63D1" w:rsidP="009C2AFC">
      <w:pPr>
        <w:spacing w:before="240" w:after="120"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De conformidad con lo señalado en los Lineamientos Generales para la Evaluación de los Programas Federales de la Administración Pública Federal, se presenta el diagnóstico del Programa Presupuestario</w:t>
      </w:r>
      <w:r w:rsidR="00A00ADE" w:rsidRPr="0089139F">
        <w:rPr>
          <w:rFonts w:ascii="Noto Sans" w:eastAsia="Century Gothic" w:hAnsi="Noto Sans" w:cs="Noto Sans"/>
          <w:sz w:val="22"/>
          <w:szCs w:val="22"/>
        </w:rPr>
        <w:t xml:space="preserve"> (Pp)</w:t>
      </w:r>
      <w:r w:rsidRPr="0089139F">
        <w:rPr>
          <w:rFonts w:ascii="Noto Sans" w:eastAsia="Century Gothic" w:hAnsi="Noto Sans" w:cs="Noto Sans"/>
          <w:sz w:val="22"/>
          <w:szCs w:val="22"/>
        </w:rPr>
        <w:t xml:space="preserve"> U009 “Vigilancia Epidemiológica” elaborado </w:t>
      </w:r>
      <w:r w:rsidRPr="0089139F">
        <w:rPr>
          <w:rFonts w:ascii="Noto Sans" w:eastAsia="Century Gothic" w:hAnsi="Noto Sans" w:cs="Noto Sans"/>
          <w:b/>
          <w:sz w:val="22"/>
          <w:szCs w:val="22"/>
        </w:rPr>
        <w:t xml:space="preserve">por el Centro Nacional de </w:t>
      </w:r>
      <w:r w:rsidR="0089139F" w:rsidRPr="0089139F">
        <w:rPr>
          <w:rFonts w:ascii="Noto Sans" w:eastAsia="Century Gothic" w:hAnsi="Noto Sans" w:cs="Noto Sans"/>
          <w:b/>
          <w:sz w:val="22"/>
          <w:szCs w:val="22"/>
        </w:rPr>
        <w:t xml:space="preserve">Prevención </w:t>
      </w:r>
      <w:r w:rsidRPr="0089139F">
        <w:rPr>
          <w:rFonts w:ascii="Noto Sans" w:eastAsia="Century Gothic" w:hAnsi="Noto Sans" w:cs="Noto Sans"/>
          <w:b/>
          <w:sz w:val="22"/>
          <w:szCs w:val="22"/>
        </w:rPr>
        <w:t>y Control de Enfermedades (CENAPRECE) y la Dirección General de Epidemiología (DGE</w:t>
      </w:r>
      <w:r w:rsidRPr="0089139F">
        <w:rPr>
          <w:rFonts w:ascii="Noto Sans" w:eastAsia="Century Gothic" w:hAnsi="Noto Sans" w:cs="Noto Sans"/>
          <w:sz w:val="22"/>
          <w:szCs w:val="22"/>
        </w:rPr>
        <w:t>), alineados a los objetivos y directrices del Plan Nacional de Desarrollo (PND) 2019 – 2024 y del Programa Sectorial de Salud (PROSESA) 20</w:t>
      </w:r>
      <w:r w:rsidR="00F24E06" w:rsidRPr="0089139F">
        <w:rPr>
          <w:rFonts w:ascii="Noto Sans" w:eastAsia="Century Gothic" w:hAnsi="Noto Sans" w:cs="Noto Sans"/>
          <w:sz w:val="22"/>
          <w:szCs w:val="22"/>
        </w:rPr>
        <w:t>20</w:t>
      </w:r>
      <w:r w:rsidRPr="0089139F">
        <w:rPr>
          <w:rFonts w:ascii="Noto Sans" w:eastAsia="Century Gothic" w:hAnsi="Noto Sans" w:cs="Noto Sans"/>
          <w:sz w:val="22"/>
          <w:szCs w:val="22"/>
        </w:rPr>
        <w:t>-2024.</w:t>
      </w:r>
    </w:p>
    <w:p w14:paraId="1D06615B" w14:textId="77777777" w:rsidR="0087754A" w:rsidRPr="0089139F" w:rsidRDefault="0087754A" w:rsidP="009C2AFC">
      <w:pPr>
        <w:spacing w:before="240" w:after="120"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Los lineamientos generales para la evaluación de los Programas Federales de la Administración Pública Federal, señalan en su numeral Vigésimo Primero que las dependencias y entidades deberán elaborar un diagnóstico que justifique la creación de nuevos programas federales que se pretendan incluir dentro del proyecto de presupuesto anual o, en su caso, que justifique la ampliación o modificación sustantiva de los programas federales existentes (Diagnóstico) precisando su impacto presupuestario y las fuentes de financiamiento.</w:t>
      </w:r>
    </w:p>
    <w:p w14:paraId="3E8838BD" w14:textId="3C4723E1" w:rsidR="0087754A" w:rsidRPr="0089139F" w:rsidRDefault="0087754A" w:rsidP="009C2AFC">
      <w:pPr>
        <w:spacing w:before="240" w:after="120"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En ese sentido, es importante señalar que el Programa Presupuestario U009 “Vigilancia Epidemiológica” no es un pro</w:t>
      </w:r>
      <w:r w:rsidR="004B635B" w:rsidRPr="0089139F">
        <w:rPr>
          <w:rFonts w:ascii="Noto Sans" w:eastAsia="Century Gothic" w:hAnsi="Noto Sans" w:cs="Noto Sans"/>
          <w:sz w:val="22"/>
          <w:szCs w:val="22"/>
        </w:rPr>
        <w:t>grama de nueva creación, es un Programa P</w:t>
      </w:r>
      <w:r w:rsidRPr="0089139F">
        <w:rPr>
          <w:rFonts w:ascii="Noto Sans" w:eastAsia="Century Gothic" w:hAnsi="Noto Sans" w:cs="Noto Sans"/>
          <w:sz w:val="22"/>
          <w:szCs w:val="22"/>
        </w:rPr>
        <w:t>resupuestario que opera desde 2008, sin embargo, no se desarrolló en su momento el Diagnóstico que justificara su creación, por lo qu</w:t>
      </w:r>
      <w:r w:rsidR="001D239B" w:rsidRPr="0089139F">
        <w:rPr>
          <w:rFonts w:ascii="Noto Sans" w:eastAsia="Century Gothic" w:hAnsi="Noto Sans" w:cs="Noto Sans"/>
          <w:sz w:val="22"/>
          <w:szCs w:val="22"/>
        </w:rPr>
        <w:t xml:space="preserve">e </w:t>
      </w:r>
      <w:r w:rsidR="00673081" w:rsidRPr="0089139F">
        <w:rPr>
          <w:rFonts w:ascii="Noto Sans" w:eastAsia="Century Gothic" w:hAnsi="Noto Sans" w:cs="Noto Sans"/>
          <w:sz w:val="22"/>
          <w:szCs w:val="22"/>
        </w:rPr>
        <w:t xml:space="preserve">desde </w:t>
      </w:r>
      <w:r w:rsidR="001D239B" w:rsidRPr="0089139F">
        <w:rPr>
          <w:rFonts w:ascii="Noto Sans" w:eastAsia="Century Gothic" w:hAnsi="Noto Sans" w:cs="Noto Sans"/>
          <w:sz w:val="22"/>
          <w:szCs w:val="22"/>
        </w:rPr>
        <w:t>2021</w:t>
      </w:r>
      <w:r w:rsidRPr="0089139F">
        <w:rPr>
          <w:rFonts w:ascii="Noto Sans" w:eastAsia="Century Gothic" w:hAnsi="Noto Sans" w:cs="Noto Sans"/>
          <w:sz w:val="22"/>
          <w:szCs w:val="22"/>
        </w:rPr>
        <w:t xml:space="preserve"> las unidades administrativas responsables de su operación nos hemos dado a la tarea de realizar este documento normativo, considerando además, todos los aspectos de mejora que han sido señalados por las a</w:t>
      </w:r>
      <w:r w:rsidR="001D239B" w:rsidRPr="0089139F">
        <w:rPr>
          <w:rFonts w:ascii="Noto Sans" w:eastAsia="Century Gothic" w:hAnsi="Noto Sans" w:cs="Noto Sans"/>
          <w:sz w:val="22"/>
          <w:szCs w:val="22"/>
        </w:rPr>
        <w:t>uditorías al desempeño</w:t>
      </w:r>
      <w:r w:rsidRPr="0089139F">
        <w:rPr>
          <w:rFonts w:ascii="Noto Sans" w:eastAsia="Century Gothic" w:hAnsi="Noto Sans" w:cs="Noto Sans"/>
          <w:sz w:val="22"/>
          <w:szCs w:val="22"/>
        </w:rPr>
        <w:t xml:space="preserve"> realizadas por la Auditoría Superior de la Federación, así como </w:t>
      </w:r>
      <w:r w:rsidR="001D239B" w:rsidRPr="0089139F">
        <w:rPr>
          <w:rFonts w:ascii="Noto Sans" w:eastAsia="Century Gothic" w:hAnsi="Noto Sans" w:cs="Noto Sans"/>
          <w:sz w:val="22"/>
          <w:szCs w:val="22"/>
        </w:rPr>
        <w:t xml:space="preserve">aquellos que surgieron a partir de </w:t>
      </w:r>
      <w:r w:rsidRPr="0089139F">
        <w:rPr>
          <w:rFonts w:ascii="Noto Sans" w:eastAsia="Century Gothic" w:hAnsi="Noto Sans" w:cs="Noto Sans"/>
          <w:sz w:val="22"/>
          <w:szCs w:val="22"/>
        </w:rPr>
        <w:t xml:space="preserve">la Evaluación de Consistencia y Resultados realizado sobre el ejercicio </w:t>
      </w:r>
      <w:r w:rsidR="004B635B" w:rsidRPr="0089139F">
        <w:rPr>
          <w:rFonts w:ascii="Noto Sans" w:eastAsia="Century Gothic" w:hAnsi="Noto Sans" w:cs="Noto Sans"/>
          <w:sz w:val="22"/>
          <w:szCs w:val="22"/>
        </w:rPr>
        <w:t xml:space="preserve">fiscal </w:t>
      </w:r>
      <w:r w:rsidRPr="0089139F">
        <w:rPr>
          <w:rFonts w:ascii="Noto Sans" w:eastAsia="Century Gothic" w:hAnsi="Noto Sans" w:cs="Noto Sans"/>
          <w:sz w:val="22"/>
          <w:szCs w:val="22"/>
        </w:rPr>
        <w:t>2019 que recientemente hiciera el Centro de Investigación en Políticas, Población y Salud de la Facultad de Medicina de la U</w:t>
      </w:r>
      <w:r w:rsidR="009C2AFC" w:rsidRPr="0089139F">
        <w:rPr>
          <w:rFonts w:ascii="Noto Sans" w:eastAsia="Century Gothic" w:hAnsi="Noto Sans" w:cs="Noto Sans"/>
          <w:sz w:val="22"/>
          <w:szCs w:val="22"/>
        </w:rPr>
        <w:t xml:space="preserve">niversidad </w:t>
      </w:r>
      <w:r w:rsidRPr="0089139F">
        <w:rPr>
          <w:rFonts w:ascii="Noto Sans" w:eastAsia="Century Gothic" w:hAnsi="Noto Sans" w:cs="Noto Sans"/>
          <w:sz w:val="22"/>
          <w:szCs w:val="22"/>
        </w:rPr>
        <w:t>N</w:t>
      </w:r>
      <w:r w:rsidR="009C2AFC" w:rsidRPr="0089139F">
        <w:rPr>
          <w:rFonts w:ascii="Noto Sans" w:eastAsia="Century Gothic" w:hAnsi="Noto Sans" w:cs="Noto Sans"/>
          <w:sz w:val="22"/>
          <w:szCs w:val="22"/>
        </w:rPr>
        <w:t xml:space="preserve">acional </w:t>
      </w:r>
      <w:r w:rsidR="009C17E4" w:rsidRPr="0089139F">
        <w:rPr>
          <w:rFonts w:ascii="Noto Sans" w:eastAsia="Century Gothic" w:hAnsi="Noto Sans" w:cs="Noto Sans"/>
          <w:sz w:val="22"/>
          <w:szCs w:val="22"/>
        </w:rPr>
        <w:t>Autónoma</w:t>
      </w:r>
      <w:r w:rsidR="009C2AFC" w:rsidRPr="0089139F">
        <w:rPr>
          <w:rFonts w:ascii="Noto Sans" w:eastAsia="Century Gothic" w:hAnsi="Noto Sans" w:cs="Noto Sans"/>
          <w:sz w:val="22"/>
          <w:szCs w:val="22"/>
        </w:rPr>
        <w:t xml:space="preserve"> de </w:t>
      </w:r>
      <w:r w:rsidRPr="0089139F">
        <w:rPr>
          <w:rFonts w:ascii="Noto Sans" w:eastAsia="Century Gothic" w:hAnsi="Noto Sans" w:cs="Noto Sans"/>
          <w:sz w:val="22"/>
          <w:szCs w:val="22"/>
        </w:rPr>
        <w:t>M</w:t>
      </w:r>
      <w:r w:rsidR="009C2AFC" w:rsidRPr="0089139F">
        <w:rPr>
          <w:rFonts w:ascii="Noto Sans" w:eastAsia="Century Gothic" w:hAnsi="Noto Sans" w:cs="Noto Sans"/>
          <w:sz w:val="22"/>
          <w:szCs w:val="22"/>
        </w:rPr>
        <w:t>éxico</w:t>
      </w:r>
      <w:r w:rsidRPr="0089139F">
        <w:rPr>
          <w:rFonts w:ascii="Noto Sans" w:eastAsia="Century Gothic" w:hAnsi="Noto Sans" w:cs="Noto Sans"/>
          <w:sz w:val="22"/>
          <w:szCs w:val="22"/>
        </w:rPr>
        <w:t>.</w:t>
      </w:r>
    </w:p>
    <w:p w14:paraId="0AF584E1" w14:textId="77777777" w:rsidR="000305FE" w:rsidRPr="0089139F" w:rsidRDefault="00CB63D1" w:rsidP="0087754A">
      <w:pPr>
        <w:pStyle w:val="Ttulo1"/>
        <w:spacing w:after="120" w:line="360" w:lineRule="auto"/>
        <w:rPr>
          <w:rFonts w:ascii="Noto Sans" w:eastAsia="Century Gothic" w:hAnsi="Noto Sans" w:cs="Noto Sans"/>
          <w:sz w:val="22"/>
          <w:szCs w:val="22"/>
        </w:rPr>
      </w:pPr>
      <w:bookmarkStart w:id="2" w:name="_heading=h.30j0zll" w:colFirst="0" w:colLast="0"/>
      <w:bookmarkEnd w:id="2"/>
      <w:r w:rsidRPr="0089139F">
        <w:rPr>
          <w:rFonts w:ascii="Noto Sans" w:eastAsia="Century Gothic" w:hAnsi="Noto Sans" w:cs="Noto Sans"/>
          <w:sz w:val="22"/>
          <w:szCs w:val="22"/>
        </w:rPr>
        <w:t>2. Objetivo</w:t>
      </w:r>
    </w:p>
    <w:p w14:paraId="19EBD951" w14:textId="053225D3" w:rsidR="009C2AFC" w:rsidRPr="0089139F" w:rsidRDefault="009C2AFC" w:rsidP="009C17E4">
      <w:pPr>
        <w:shd w:val="clear" w:color="auto" w:fill="FFFFFF"/>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La vigilancia epidemiológica es un proceso continuo de observación e investigación de los principales problemas de salud en una comunidad. Este proceso incluye la recolección, procesamiento, análisis, evaluación y difusión de información sobre la morbilidad, mortalidad y otros eventos de salud.  Esta, tiene como objetivo prevenir y controlar los problemas de salud, mediante la recomendación de medidas a corto y largo plazo. Es una de las principales herramientas para conocer el comportamiento de las enfermedades en la población, especialmente de las que tienen potencial epidémico o factores de riesgo que se pueden intervenir para prevenirlas o eliminarlas. </w:t>
      </w:r>
    </w:p>
    <w:p w14:paraId="6FE1BBA2" w14:textId="77777777" w:rsidR="009C2AFC" w:rsidRPr="0089139F" w:rsidRDefault="009C2AFC" w:rsidP="009C17E4">
      <w:pPr>
        <w:shd w:val="clear" w:color="auto" w:fill="FFFFFF"/>
        <w:spacing w:line="276" w:lineRule="auto"/>
        <w:jc w:val="both"/>
        <w:rPr>
          <w:rFonts w:ascii="Noto Sans" w:eastAsia="Century Gothic" w:hAnsi="Noto Sans" w:cs="Noto Sans"/>
          <w:sz w:val="22"/>
          <w:szCs w:val="22"/>
        </w:rPr>
      </w:pPr>
    </w:p>
    <w:p w14:paraId="07FCBA5E" w14:textId="36CCA320" w:rsidR="009C2AFC" w:rsidRPr="0089139F" w:rsidRDefault="009C2AFC" w:rsidP="009C17E4">
      <w:pPr>
        <w:shd w:val="clear" w:color="auto" w:fill="FFFFFF"/>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lastRenderedPageBreak/>
        <w:t xml:space="preserve">La vigilancia epidemiológica implica </w:t>
      </w:r>
      <w:r w:rsidR="00DE34A1" w:rsidRPr="0089139F">
        <w:rPr>
          <w:rFonts w:ascii="Noto Sans" w:eastAsia="Century Gothic" w:hAnsi="Noto Sans" w:cs="Noto Sans"/>
          <w:sz w:val="22"/>
          <w:szCs w:val="22"/>
        </w:rPr>
        <w:t xml:space="preserve">estudiar </w:t>
      </w:r>
      <w:r w:rsidRPr="0089139F">
        <w:rPr>
          <w:rFonts w:ascii="Noto Sans" w:eastAsia="Century Gothic" w:hAnsi="Noto Sans" w:cs="Noto Sans"/>
          <w:sz w:val="22"/>
          <w:szCs w:val="22"/>
        </w:rPr>
        <w:t>el comportamiento de los factores de riesgo, los daños a la salud de los individuos, la familia y la comunidad, los servicios de salud y las opiniones de la población. </w:t>
      </w:r>
    </w:p>
    <w:p w14:paraId="1EB4ED02" w14:textId="77777777" w:rsidR="009C2AFC" w:rsidRPr="0089139F" w:rsidRDefault="009C2AFC" w:rsidP="009C17E4">
      <w:pPr>
        <w:shd w:val="clear" w:color="auto" w:fill="FFFFFF"/>
        <w:spacing w:line="276" w:lineRule="auto"/>
        <w:jc w:val="both"/>
        <w:rPr>
          <w:rFonts w:ascii="Noto Sans" w:eastAsia="Century Gothic" w:hAnsi="Noto Sans" w:cs="Noto Sans"/>
          <w:sz w:val="22"/>
          <w:szCs w:val="22"/>
        </w:rPr>
      </w:pPr>
    </w:p>
    <w:p w14:paraId="364C26D4" w14:textId="1ED64390" w:rsidR="000305FE" w:rsidRPr="0089139F" w:rsidRDefault="009C2AFC" w:rsidP="009C17E4">
      <w:pPr>
        <w:shd w:val="clear" w:color="auto" w:fill="FFFFFF"/>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 xml:space="preserve">En México, el Sistema Nacional de Vigilancia Epidemiológica (SINAVE) es la plataforma que integra la información de las entidades federativas y de todas las instituciones del Sistema Nacional de Salud. </w:t>
      </w:r>
      <w:r w:rsidR="00CB63D1" w:rsidRPr="0089139F">
        <w:rPr>
          <w:rFonts w:ascii="Noto Sans" w:eastAsia="Century Gothic" w:hAnsi="Noto Sans" w:cs="Noto Sans"/>
          <w:sz w:val="22"/>
          <w:szCs w:val="22"/>
        </w:rPr>
        <w:t>Contar con el diagnóstico del Programa Presupuestario U</w:t>
      </w:r>
      <w:r w:rsidR="00035EB1" w:rsidRPr="0089139F">
        <w:rPr>
          <w:rFonts w:ascii="Noto Sans" w:eastAsia="Century Gothic" w:hAnsi="Noto Sans" w:cs="Noto Sans"/>
          <w:sz w:val="22"/>
          <w:szCs w:val="22"/>
        </w:rPr>
        <w:t xml:space="preserve">009 </w:t>
      </w:r>
      <w:r w:rsidR="002004DF" w:rsidRPr="0089139F">
        <w:rPr>
          <w:rFonts w:ascii="Noto Sans" w:eastAsia="Century Gothic" w:hAnsi="Noto Sans" w:cs="Noto Sans"/>
          <w:sz w:val="22"/>
          <w:szCs w:val="22"/>
        </w:rPr>
        <w:t>(Pp U009)</w:t>
      </w:r>
      <w:r w:rsidR="00035EB1" w:rsidRPr="0089139F">
        <w:rPr>
          <w:rFonts w:ascii="Noto Sans" w:eastAsia="Century Gothic" w:hAnsi="Noto Sans" w:cs="Noto Sans"/>
          <w:sz w:val="22"/>
          <w:szCs w:val="22"/>
        </w:rPr>
        <w:t xml:space="preserve"> con </w:t>
      </w:r>
      <w:r w:rsidR="00A43179" w:rsidRPr="0089139F">
        <w:rPr>
          <w:rFonts w:ascii="Noto Sans" w:eastAsia="Century Gothic" w:hAnsi="Noto Sans" w:cs="Noto Sans"/>
          <w:sz w:val="22"/>
          <w:szCs w:val="22"/>
        </w:rPr>
        <w:t>el fin de atender la Vigilancia Epidemiológica en México, permite tomar decisiones en Salud Pública, así como reestructurar mediante la actualización de sus componentes de acuerdo con lo requerido hoy en día en la operación de este Programa Presupuestario, además de atender las acciones de mejora derivadas de</w:t>
      </w:r>
      <w:r w:rsidR="00673081" w:rsidRPr="0089139F">
        <w:rPr>
          <w:rFonts w:ascii="Noto Sans" w:eastAsia="Century Gothic" w:hAnsi="Noto Sans" w:cs="Noto Sans"/>
          <w:sz w:val="22"/>
          <w:szCs w:val="22"/>
        </w:rPr>
        <w:t xml:space="preserve"> la Dirección General de</w:t>
      </w:r>
      <w:r w:rsidR="00A43179" w:rsidRPr="0089139F">
        <w:rPr>
          <w:rFonts w:ascii="Noto Sans" w:eastAsia="Century Gothic" w:hAnsi="Noto Sans" w:cs="Noto Sans"/>
          <w:sz w:val="22"/>
          <w:szCs w:val="22"/>
        </w:rPr>
        <w:t xml:space="preserve"> Evaluación del Desempeño</w:t>
      </w:r>
      <w:r w:rsidR="00673081" w:rsidRPr="0089139F">
        <w:rPr>
          <w:rFonts w:ascii="Noto Sans" w:eastAsia="Century Gothic" w:hAnsi="Noto Sans" w:cs="Noto Sans"/>
          <w:sz w:val="22"/>
          <w:szCs w:val="22"/>
        </w:rPr>
        <w:t>, el Consejo Nacional de Evaluación de la Política de Desarrollo Social</w:t>
      </w:r>
      <w:r w:rsidR="00A43179" w:rsidRPr="0089139F">
        <w:rPr>
          <w:rFonts w:ascii="Noto Sans" w:eastAsia="Century Gothic" w:hAnsi="Noto Sans" w:cs="Noto Sans"/>
          <w:sz w:val="22"/>
          <w:szCs w:val="22"/>
        </w:rPr>
        <w:t>, las recomendaciones de las instancias externas a partir de la Evaluación de Consistencia y Resultados a la operación del Pp U009  en el ejercicio 2019</w:t>
      </w:r>
      <w:r w:rsidR="00DE34A1" w:rsidRPr="0089139F">
        <w:rPr>
          <w:rFonts w:ascii="Noto Sans" w:eastAsia="Century Gothic" w:hAnsi="Noto Sans" w:cs="Noto Sans"/>
          <w:sz w:val="22"/>
          <w:szCs w:val="22"/>
        </w:rPr>
        <w:t>,</w:t>
      </w:r>
      <w:r w:rsidR="00A43179" w:rsidRPr="0089139F">
        <w:rPr>
          <w:rFonts w:ascii="Noto Sans" w:eastAsia="Century Gothic" w:hAnsi="Noto Sans" w:cs="Noto Sans"/>
          <w:sz w:val="22"/>
          <w:szCs w:val="22"/>
        </w:rPr>
        <w:t>las observaciones emitidas por la Auditoría Superior de la Federación y con ello contribuir a la resolución del problema público identificado.</w:t>
      </w:r>
      <w:r w:rsidRPr="0089139F">
        <w:rPr>
          <w:rFonts w:ascii="Noto Sans" w:eastAsia="Century Gothic" w:hAnsi="Noto Sans" w:cs="Noto Sans"/>
          <w:sz w:val="22"/>
          <w:szCs w:val="22"/>
        </w:rPr>
        <w:t xml:space="preserve"> </w:t>
      </w:r>
    </w:p>
    <w:p w14:paraId="3DEE292E" w14:textId="07F81324" w:rsidR="00BF24C2" w:rsidRPr="0089139F" w:rsidRDefault="00BF24C2" w:rsidP="009C17E4">
      <w:pPr>
        <w:shd w:val="clear" w:color="auto" w:fill="FFFFFF"/>
        <w:spacing w:line="276" w:lineRule="auto"/>
        <w:jc w:val="both"/>
        <w:rPr>
          <w:rFonts w:ascii="Noto Sans" w:eastAsia="Century Gothic" w:hAnsi="Noto Sans" w:cs="Noto Sans"/>
          <w:sz w:val="22"/>
          <w:szCs w:val="22"/>
        </w:rPr>
      </w:pPr>
    </w:p>
    <w:p w14:paraId="73DBD9DF" w14:textId="10CCAC99" w:rsidR="00DE34A1" w:rsidRPr="0089139F" w:rsidRDefault="00BF24C2" w:rsidP="00DE34A1">
      <w:pPr>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Desde 2008 hasta 2021, el Pp U009, no ha tenido modificaciones sustanciales a su objeto central y sus objetivos específicos, aun cuando se han suscitado diversos eventos epidemiológicos, estructurales y normativos que obligaban a los responsables del programa a replantear los alcances del mismo.</w:t>
      </w:r>
    </w:p>
    <w:p w14:paraId="1EA2FAB1" w14:textId="4F387E37" w:rsidR="00DE34A1" w:rsidRPr="0089139F" w:rsidRDefault="00DE34A1" w:rsidP="00DE34A1">
      <w:pPr>
        <w:spacing w:before="240" w:after="240"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 xml:space="preserve">Actualmente, nos encontramos en una etapa de revisión del abordaje de las Funciones Esenciales de la Salud Pública (FESP) que surge de la necesidad de una visión más integral para la Salud Pública a fin de enfrentar los desafíos actuales. El panorama epidemiológico de nuestro país está vinculado a las transiciones (epidemiológica, demográfica), esto ha permitido el mantenimiento de las enfermedades infecciosas con una amenaza creciente de las enfermedades emergentes y reemergentes y para la salud de la población, y la creciente prevalencia de enfermedades crónicas no infecciosas; algo que debe tomarse en cuenta como un componente central para el fortalecimiento de la salud pública. </w:t>
      </w:r>
    </w:p>
    <w:p w14:paraId="580C0FD3" w14:textId="77777777" w:rsidR="00DE34A1" w:rsidRPr="0089139F" w:rsidRDefault="00DE34A1" w:rsidP="00DE34A1">
      <w:pPr>
        <w:spacing w:line="276" w:lineRule="auto"/>
        <w:jc w:val="both"/>
        <w:rPr>
          <w:rFonts w:ascii="Noto Sans" w:eastAsia="Century Gothic" w:hAnsi="Noto Sans" w:cs="Noto Sans"/>
          <w:sz w:val="22"/>
          <w:szCs w:val="22"/>
        </w:rPr>
      </w:pPr>
    </w:p>
    <w:p w14:paraId="53030300" w14:textId="77777777" w:rsidR="00BF24C2" w:rsidRPr="0089139F" w:rsidRDefault="00BF24C2" w:rsidP="009C17E4">
      <w:pPr>
        <w:shd w:val="clear" w:color="auto" w:fill="FFFFFF"/>
        <w:spacing w:line="276" w:lineRule="auto"/>
        <w:jc w:val="both"/>
        <w:rPr>
          <w:rFonts w:ascii="Noto Sans" w:eastAsia="Century Gothic" w:hAnsi="Noto Sans" w:cs="Noto Sans"/>
          <w:sz w:val="22"/>
          <w:szCs w:val="22"/>
        </w:rPr>
      </w:pPr>
    </w:p>
    <w:p w14:paraId="227A631E" w14:textId="77777777" w:rsidR="000305FE" w:rsidRPr="0089139F" w:rsidRDefault="00CB63D1" w:rsidP="0087754A">
      <w:pPr>
        <w:pStyle w:val="Ttulo1"/>
        <w:spacing w:after="120" w:line="360" w:lineRule="auto"/>
        <w:rPr>
          <w:rFonts w:ascii="Noto Sans" w:eastAsia="Century Gothic" w:hAnsi="Noto Sans" w:cs="Noto Sans"/>
          <w:sz w:val="22"/>
          <w:szCs w:val="22"/>
        </w:rPr>
      </w:pPr>
      <w:bookmarkStart w:id="3" w:name="_heading=h.1fob9te" w:colFirst="0" w:colLast="0"/>
      <w:bookmarkEnd w:id="3"/>
      <w:r w:rsidRPr="0089139F">
        <w:rPr>
          <w:rFonts w:ascii="Noto Sans" w:eastAsia="Century Gothic" w:hAnsi="Noto Sans" w:cs="Noto Sans"/>
          <w:sz w:val="22"/>
          <w:szCs w:val="22"/>
        </w:rPr>
        <w:t>3. Ámbito de aplicación</w:t>
      </w:r>
    </w:p>
    <w:p w14:paraId="1D299743" w14:textId="1BA2618E" w:rsidR="009C17E4" w:rsidRPr="0089139F" w:rsidRDefault="009C17E4" w:rsidP="009C17E4">
      <w:pPr>
        <w:pStyle w:val="Default"/>
        <w:spacing w:line="276" w:lineRule="auto"/>
        <w:jc w:val="both"/>
        <w:rPr>
          <w:rFonts w:ascii="Noto Sans" w:hAnsi="Noto Sans" w:cs="Noto Sans"/>
        </w:rPr>
      </w:pPr>
      <w:r w:rsidRPr="0089139F">
        <w:rPr>
          <w:rFonts w:ascii="Noto Sans" w:eastAsia="Century Gothic" w:hAnsi="Noto Sans" w:cs="Noto Sans"/>
          <w:sz w:val="22"/>
          <w:szCs w:val="22"/>
        </w:rPr>
        <w:t>En México, la Secretaria de Salud a través de l</w:t>
      </w:r>
      <w:r w:rsidR="00CB63D1" w:rsidRPr="0089139F">
        <w:rPr>
          <w:rFonts w:ascii="Noto Sans" w:eastAsia="Century Gothic" w:hAnsi="Noto Sans" w:cs="Noto Sans"/>
          <w:sz w:val="22"/>
          <w:szCs w:val="22"/>
        </w:rPr>
        <w:t>a Subsecretaría de Prevención y Promoción de la Salud, a través del C</w:t>
      </w:r>
      <w:r w:rsidR="002004DF" w:rsidRPr="0089139F">
        <w:rPr>
          <w:rFonts w:ascii="Noto Sans" w:eastAsia="Century Gothic" w:hAnsi="Noto Sans" w:cs="Noto Sans"/>
          <w:sz w:val="22"/>
          <w:szCs w:val="22"/>
        </w:rPr>
        <w:t xml:space="preserve">entro Nacional de </w:t>
      </w:r>
      <w:r w:rsidR="0089139F" w:rsidRPr="0089139F">
        <w:rPr>
          <w:rFonts w:ascii="Noto Sans" w:eastAsia="Century Gothic" w:hAnsi="Noto Sans" w:cs="Noto Sans"/>
          <w:sz w:val="22"/>
          <w:szCs w:val="22"/>
        </w:rPr>
        <w:t>Prevención</w:t>
      </w:r>
      <w:r w:rsidR="002004DF" w:rsidRPr="0089139F">
        <w:rPr>
          <w:rFonts w:ascii="Noto Sans" w:eastAsia="Century Gothic" w:hAnsi="Noto Sans" w:cs="Noto Sans"/>
          <w:sz w:val="22"/>
          <w:szCs w:val="22"/>
        </w:rPr>
        <w:t xml:space="preserve"> y Control de Enfermedades (C</w:t>
      </w:r>
      <w:r w:rsidR="00CB63D1" w:rsidRPr="0089139F">
        <w:rPr>
          <w:rFonts w:ascii="Noto Sans" w:eastAsia="Century Gothic" w:hAnsi="Noto Sans" w:cs="Noto Sans"/>
          <w:sz w:val="22"/>
          <w:szCs w:val="22"/>
        </w:rPr>
        <w:t>ENAPRECE</w:t>
      </w:r>
      <w:r w:rsidR="002004DF" w:rsidRPr="0089139F">
        <w:rPr>
          <w:rFonts w:ascii="Noto Sans" w:eastAsia="Century Gothic" w:hAnsi="Noto Sans" w:cs="Noto Sans"/>
          <w:sz w:val="22"/>
          <w:szCs w:val="22"/>
        </w:rPr>
        <w:t>)</w:t>
      </w:r>
      <w:r w:rsidR="00CB63D1" w:rsidRPr="0089139F">
        <w:rPr>
          <w:rFonts w:ascii="Noto Sans" w:eastAsia="Century Gothic" w:hAnsi="Noto Sans" w:cs="Noto Sans"/>
          <w:sz w:val="22"/>
          <w:szCs w:val="22"/>
        </w:rPr>
        <w:t xml:space="preserve"> y la Dirección General de Epidemiología </w:t>
      </w:r>
      <w:r w:rsidR="00113185" w:rsidRPr="0089139F">
        <w:rPr>
          <w:rFonts w:ascii="Noto Sans" w:eastAsia="Century Gothic" w:hAnsi="Noto Sans" w:cs="Noto Sans"/>
          <w:sz w:val="22"/>
          <w:szCs w:val="22"/>
        </w:rPr>
        <w:t>(DGE)</w:t>
      </w:r>
      <w:r w:rsidRPr="0089139F">
        <w:rPr>
          <w:rFonts w:ascii="Noto Sans" w:eastAsia="Century Gothic" w:hAnsi="Noto Sans" w:cs="Noto Sans"/>
          <w:sz w:val="22"/>
          <w:szCs w:val="22"/>
        </w:rPr>
        <w:t>,</w:t>
      </w:r>
      <w:r w:rsidR="00113185" w:rsidRPr="0089139F">
        <w:rPr>
          <w:rFonts w:ascii="Noto Sans" w:eastAsia="Century Gothic" w:hAnsi="Noto Sans" w:cs="Noto Sans"/>
          <w:sz w:val="22"/>
          <w:szCs w:val="22"/>
        </w:rPr>
        <w:t xml:space="preserve"> </w:t>
      </w:r>
      <w:r w:rsidR="00CB63D1" w:rsidRPr="0089139F">
        <w:rPr>
          <w:rFonts w:ascii="Noto Sans" w:eastAsia="Century Gothic" w:hAnsi="Noto Sans" w:cs="Noto Sans"/>
          <w:sz w:val="22"/>
          <w:szCs w:val="22"/>
        </w:rPr>
        <w:t xml:space="preserve">desarrollan el presente diagnóstico </w:t>
      </w:r>
      <w:r w:rsidR="004B635B" w:rsidRPr="0089139F">
        <w:rPr>
          <w:rFonts w:ascii="Noto Sans" w:eastAsia="Century Gothic" w:hAnsi="Noto Sans" w:cs="Noto Sans"/>
          <w:sz w:val="22"/>
          <w:szCs w:val="22"/>
        </w:rPr>
        <w:t xml:space="preserve">con base en lo </w:t>
      </w:r>
      <w:r w:rsidR="004B635B" w:rsidRPr="0089139F">
        <w:rPr>
          <w:rFonts w:ascii="Noto Sans" w:eastAsia="Century Gothic" w:hAnsi="Noto Sans" w:cs="Noto Sans"/>
          <w:sz w:val="22"/>
          <w:szCs w:val="22"/>
        </w:rPr>
        <w:lastRenderedPageBreak/>
        <w:t>establecido</w:t>
      </w:r>
      <w:r w:rsidR="005E2604" w:rsidRPr="0089139F">
        <w:rPr>
          <w:rFonts w:ascii="Noto Sans" w:eastAsia="Century Gothic" w:hAnsi="Noto Sans" w:cs="Noto Sans"/>
          <w:sz w:val="22"/>
          <w:szCs w:val="22"/>
        </w:rPr>
        <w:t xml:space="preserve"> en el documento “Aspectos a considerar para la elaboración del diagnóstico de los Programas presupuestarios de nueva creación o con cambios sustanciales que se propongan incluir en la Estructura Programática del Presupuesto de Egresos de la Federación”,</w:t>
      </w:r>
      <w:r w:rsidR="00113185" w:rsidRPr="0089139F">
        <w:rPr>
          <w:rFonts w:ascii="Noto Sans" w:eastAsia="Century Gothic" w:hAnsi="Noto Sans" w:cs="Noto Sans"/>
          <w:sz w:val="22"/>
          <w:szCs w:val="22"/>
        </w:rPr>
        <w:t xml:space="preserve"> </w:t>
      </w:r>
      <w:r w:rsidR="004B635B" w:rsidRPr="0089139F">
        <w:rPr>
          <w:rFonts w:ascii="Noto Sans" w:eastAsia="Century Gothic" w:hAnsi="Noto Sans" w:cs="Noto Sans"/>
          <w:sz w:val="22"/>
          <w:szCs w:val="22"/>
        </w:rPr>
        <w:t xml:space="preserve">atendiendo con ello recomendaciones, </w:t>
      </w:r>
      <w:r w:rsidR="005E2604" w:rsidRPr="0089139F">
        <w:rPr>
          <w:rFonts w:ascii="Noto Sans" w:eastAsia="Century Gothic" w:hAnsi="Noto Sans" w:cs="Noto Sans"/>
          <w:sz w:val="22"/>
          <w:szCs w:val="22"/>
        </w:rPr>
        <w:t>A</w:t>
      </w:r>
      <w:r w:rsidR="004B635B" w:rsidRPr="0089139F">
        <w:rPr>
          <w:rFonts w:ascii="Noto Sans" w:eastAsia="Century Gothic" w:hAnsi="Noto Sans" w:cs="Noto Sans"/>
          <w:sz w:val="22"/>
          <w:szCs w:val="22"/>
        </w:rPr>
        <w:t xml:space="preserve">spectos </w:t>
      </w:r>
      <w:r w:rsidR="005E2604" w:rsidRPr="0089139F">
        <w:rPr>
          <w:rFonts w:ascii="Noto Sans" w:eastAsia="Century Gothic" w:hAnsi="Noto Sans" w:cs="Noto Sans"/>
          <w:sz w:val="22"/>
          <w:szCs w:val="22"/>
        </w:rPr>
        <w:t>S</w:t>
      </w:r>
      <w:r w:rsidR="004B635B" w:rsidRPr="0089139F">
        <w:rPr>
          <w:rFonts w:ascii="Noto Sans" w:eastAsia="Century Gothic" w:hAnsi="Noto Sans" w:cs="Noto Sans"/>
          <w:sz w:val="22"/>
          <w:szCs w:val="22"/>
        </w:rPr>
        <w:t xml:space="preserve">usceptibles de </w:t>
      </w:r>
      <w:r w:rsidR="005E2604" w:rsidRPr="0089139F">
        <w:rPr>
          <w:rFonts w:ascii="Noto Sans" w:eastAsia="Century Gothic" w:hAnsi="Noto Sans" w:cs="Noto Sans"/>
          <w:sz w:val="22"/>
          <w:szCs w:val="22"/>
        </w:rPr>
        <w:t>M</w:t>
      </w:r>
      <w:r w:rsidR="004B635B" w:rsidRPr="0089139F">
        <w:rPr>
          <w:rFonts w:ascii="Noto Sans" w:eastAsia="Century Gothic" w:hAnsi="Noto Sans" w:cs="Noto Sans"/>
          <w:sz w:val="22"/>
          <w:szCs w:val="22"/>
        </w:rPr>
        <w:t>ejora</w:t>
      </w:r>
      <w:r w:rsidR="00673081" w:rsidRPr="0089139F">
        <w:rPr>
          <w:rFonts w:ascii="Noto Sans" w:eastAsia="Century Gothic" w:hAnsi="Noto Sans" w:cs="Noto Sans"/>
          <w:sz w:val="22"/>
          <w:szCs w:val="22"/>
        </w:rPr>
        <w:t xml:space="preserve"> y lo primordial, atender la actualidad en Vigilancia Epidemiológica en México.</w:t>
      </w:r>
      <w:r w:rsidRPr="0089139F">
        <w:rPr>
          <w:rFonts w:ascii="Noto Sans" w:eastAsia="Century Gothic" w:hAnsi="Noto Sans" w:cs="Noto Sans"/>
          <w:sz w:val="22"/>
          <w:szCs w:val="22"/>
        </w:rPr>
        <w:t xml:space="preserve"> </w:t>
      </w:r>
    </w:p>
    <w:p w14:paraId="7EBFEE26" w14:textId="5F1BE982" w:rsidR="00673081" w:rsidRPr="0089139F" w:rsidRDefault="009C17E4" w:rsidP="009C17E4">
      <w:pPr>
        <w:spacing w:before="240" w:after="120" w:line="276" w:lineRule="auto"/>
        <w:jc w:val="both"/>
        <w:rPr>
          <w:rFonts w:ascii="Noto Sans" w:eastAsia="Century Gothic" w:hAnsi="Noto Sans" w:cs="Noto Sans"/>
          <w:color w:val="000000"/>
          <w:sz w:val="22"/>
          <w:szCs w:val="22"/>
        </w:rPr>
      </w:pPr>
      <w:r w:rsidRPr="0089139F">
        <w:rPr>
          <w:rFonts w:ascii="Noto Sans" w:hAnsi="Noto Sans" w:cs="Noto Sans"/>
        </w:rPr>
        <w:t>D</w:t>
      </w:r>
      <w:r w:rsidRPr="0089139F">
        <w:rPr>
          <w:rFonts w:ascii="Noto Sans" w:eastAsia="Century Gothic" w:hAnsi="Noto Sans" w:cs="Noto Sans"/>
          <w:color w:val="000000"/>
          <w:sz w:val="22"/>
          <w:szCs w:val="22"/>
        </w:rPr>
        <w:t>ebido a las características del Pp U009 “Vigilancia Epidemiológica”, la población atendida son los Servicios Estatales de Salud, quienes notifican y tratan a las personas afectadas por patologías incluidas en esta vigilancia, debido a que la vigilancia epidemiológica es un asunto de seguridad nacional al tener enfermedades emergentes-reemergentes que pueden comprometer la salud colectiva.</w:t>
      </w:r>
    </w:p>
    <w:p w14:paraId="48F4EE09" w14:textId="754CD7D9" w:rsidR="000305FE" w:rsidRPr="0089139F" w:rsidRDefault="000305FE" w:rsidP="009C17E4">
      <w:pPr>
        <w:autoSpaceDE w:val="0"/>
        <w:autoSpaceDN w:val="0"/>
        <w:adjustRightInd w:val="0"/>
        <w:spacing w:line="276" w:lineRule="auto"/>
        <w:rPr>
          <w:rFonts w:ascii="Noto Sans" w:eastAsia="Century Gothic" w:hAnsi="Noto Sans" w:cs="Noto Sans"/>
          <w:sz w:val="22"/>
          <w:szCs w:val="22"/>
        </w:rPr>
      </w:pPr>
    </w:p>
    <w:p w14:paraId="00578D54" w14:textId="77777777" w:rsidR="009C17E4" w:rsidRPr="0089139F" w:rsidRDefault="009C17E4" w:rsidP="009C17E4">
      <w:pPr>
        <w:rPr>
          <w:rFonts w:ascii="Noto Sans" w:eastAsia="Century Gothic" w:hAnsi="Noto Sans" w:cs="Noto Sans"/>
          <w:b/>
          <w:sz w:val="22"/>
          <w:szCs w:val="22"/>
        </w:rPr>
      </w:pPr>
      <w:r w:rsidRPr="0089139F">
        <w:rPr>
          <w:rFonts w:ascii="Noto Sans" w:eastAsia="Century Gothic" w:hAnsi="Noto Sans" w:cs="Noto Sans"/>
          <w:b/>
          <w:sz w:val="22"/>
          <w:szCs w:val="22"/>
        </w:rPr>
        <w:t>4. Estructura general del diagnóstico</w:t>
      </w:r>
    </w:p>
    <w:p w14:paraId="4D4BD040" w14:textId="6F573C43" w:rsidR="009C17E4" w:rsidRPr="0089139F" w:rsidRDefault="009C17E4" w:rsidP="000434FD">
      <w:pPr>
        <w:pStyle w:val="Ttulo2"/>
        <w:spacing w:after="120" w:line="360" w:lineRule="auto"/>
        <w:rPr>
          <w:rFonts w:ascii="Noto Sans" w:eastAsia="Century Gothic" w:hAnsi="Noto Sans" w:cs="Noto Sans"/>
          <w:i w:val="0"/>
          <w:sz w:val="22"/>
          <w:szCs w:val="22"/>
        </w:rPr>
      </w:pPr>
      <w:r w:rsidRPr="0089139F">
        <w:rPr>
          <w:rFonts w:ascii="Noto Sans" w:eastAsia="Century Gothic" w:hAnsi="Noto Sans" w:cs="Noto Sans"/>
          <w:i w:val="0"/>
          <w:sz w:val="22"/>
          <w:szCs w:val="22"/>
        </w:rPr>
        <w:t>4.1 Antecedentes</w:t>
      </w:r>
    </w:p>
    <w:p w14:paraId="2163F1E6" w14:textId="78F1246E" w:rsidR="009C17E4" w:rsidRPr="0089139F" w:rsidRDefault="009C17E4" w:rsidP="009C17E4">
      <w:pPr>
        <w:spacing w:line="360" w:lineRule="auto"/>
        <w:jc w:val="both"/>
        <w:rPr>
          <w:rFonts w:ascii="Noto Sans" w:eastAsia="Century Gothic" w:hAnsi="Noto Sans" w:cs="Noto Sans"/>
          <w:b/>
          <w:sz w:val="22"/>
          <w:szCs w:val="22"/>
        </w:rPr>
      </w:pPr>
      <w:r w:rsidRPr="0089139F">
        <w:rPr>
          <w:rFonts w:ascii="Noto Sans" w:eastAsia="Century Gothic" w:hAnsi="Noto Sans" w:cs="Noto Sans"/>
          <w:b/>
          <w:sz w:val="22"/>
          <w:szCs w:val="22"/>
        </w:rPr>
        <w:t>Antecedentes históricos:</w:t>
      </w:r>
    </w:p>
    <w:p w14:paraId="1243C838" w14:textId="4C4D14D9" w:rsidR="009C17E4" w:rsidRPr="0089139F" w:rsidRDefault="009C17E4" w:rsidP="000434FD">
      <w:pPr>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El U009, es un</w:t>
      </w:r>
      <w:r w:rsidR="00673635" w:rsidRPr="0089139F">
        <w:rPr>
          <w:rFonts w:ascii="Noto Sans" w:eastAsia="Century Gothic" w:hAnsi="Noto Sans" w:cs="Noto Sans"/>
          <w:sz w:val="22"/>
          <w:szCs w:val="22"/>
        </w:rPr>
        <w:t xml:space="preserve"> Programa Presupuestario</w:t>
      </w:r>
      <w:r w:rsidRPr="0089139F">
        <w:rPr>
          <w:rFonts w:ascii="Noto Sans" w:eastAsia="Century Gothic" w:hAnsi="Noto Sans" w:cs="Noto Sans"/>
          <w:sz w:val="22"/>
          <w:szCs w:val="22"/>
        </w:rPr>
        <w:t xml:space="preserve"> que fue incorporado por primera vez a la Estructura Programática del Presupuesto de Egresos de la Federación del Ejercicio Fiscal 2008. Este programa surge para atender la Vigilancia Epidemiológica secundario a los diversos cambios estructurales de la Secretaría de Salud y con ello contar con recursos específicos</w:t>
      </w:r>
      <w:r w:rsidR="00BF24C2" w:rsidRPr="0089139F">
        <w:rPr>
          <w:rFonts w:ascii="Noto Sans" w:eastAsia="Century Gothic" w:hAnsi="Noto Sans" w:cs="Noto Sans"/>
          <w:sz w:val="22"/>
          <w:szCs w:val="22"/>
        </w:rPr>
        <w:t xml:space="preserve"> para su atención</w:t>
      </w:r>
      <w:r w:rsidRPr="0089139F">
        <w:rPr>
          <w:rFonts w:ascii="Noto Sans" w:eastAsia="Century Gothic" w:hAnsi="Noto Sans" w:cs="Noto Sans"/>
          <w:sz w:val="22"/>
          <w:szCs w:val="22"/>
        </w:rPr>
        <w:t>.</w:t>
      </w:r>
    </w:p>
    <w:p w14:paraId="4C313A09" w14:textId="77777777" w:rsidR="002F4FF8" w:rsidRPr="0089139F" w:rsidRDefault="002F4FF8" w:rsidP="009C17E4">
      <w:pPr>
        <w:spacing w:line="360" w:lineRule="auto"/>
        <w:jc w:val="both"/>
        <w:rPr>
          <w:rFonts w:ascii="Noto Sans" w:eastAsia="Century Gothic" w:hAnsi="Noto Sans" w:cs="Noto Sans"/>
          <w:sz w:val="22"/>
          <w:szCs w:val="22"/>
        </w:rPr>
      </w:pPr>
    </w:p>
    <w:p w14:paraId="3D68C211" w14:textId="6C7C22EC" w:rsidR="009C17E4" w:rsidRPr="0089139F" w:rsidRDefault="009C17E4" w:rsidP="000434FD">
      <w:pPr>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 xml:space="preserve">En 2012, </w:t>
      </w:r>
      <w:r w:rsidR="00DE34A1" w:rsidRPr="0089139F">
        <w:rPr>
          <w:rFonts w:ascii="Noto Sans" w:eastAsia="Century Gothic" w:hAnsi="Noto Sans" w:cs="Noto Sans"/>
          <w:sz w:val="22"/>
          <w:szCs w:val="22"/>
        </w:rPr>
        <w:t xml:space="preserve">se realizó </w:t>
      </w:r>
      <w:r w:rsidRPr="0089139F">
        <w:rPr>
          <w:rFonts w:ascii="Noto Sans" w:eastAsia="Century Gothic" w:hAnsi="Noto Sans" w:cs="Noto Sans"/>
          <w:sz w:val="22"/>
          <w:szCs w:val="22"/>
        </w:rPr>
        <w:t>el cambio de alcances y atribuciones del anterior Centro Nacional de Vigilancia Epidemiológica y Control de Enfermedades (CENAVECE), convirtiéndose en Centro Nacional de Programas Preventivos y Control de Enfermedades (CENAPRECE), separando la estructura y atribuciones de vigilancia epidemiológica a cargo de una Dirección General de nueva creación denominada Dirección General de Epidemiología (DGE) y quedando bajo su responsabilidad; el Instituto de</w:t>
      </w:r>
      <w:r w:rsidR="0031568C" w:rsidRPr="0089139F">
        <w:rPr>
          <w:rFonts w:ascii="Noto Sans" w:eastAsia="Century Gothic" w:hAnsi="Noto Sans" w:cs="Noto Sans"/>
          <w:sz w:val="22"/>
          <w:szCs w:val="22"/>
        </w:rPr>
        <w:t xml:space="preserve"> Diagnóstico y</w:t>
      </w:r>
      <w:r w:rsidRPr="0089139F">
        <w:rPr>
          <w:rFonts w:ascii="Noto Sans" w:eastAsia="Century Gothic" w:hAnsi="Noto Sans" w:cs="Noto Sans"/>
          <w:sz w:val="22"/>
          <w:szCs w:val="22"/>
        </w:rPr>
        <w:t xml:space="preserve"> Referencia Epidemiológica (I</w:t>
      </w:r>
      <w:r w:rsidR="0031568C" w:rsidRPr="0089139F">
        <w:rPr>
          <w:rFonts w:ascii="Noto Sans" w:eastAsia="Century Gothic" w:hAnsi="Noto Sans" w:cs="Noto Sans"/>
          <w:sz w:val="22"/>
          <w:szCs w:val="22"/>
        </w:rPr>
        <w:t>n</w:t>
      </w:r>
      <w:r w:rsidRPr="0089139F">
        <w:rPr>
          <w:rFonts w:ascii="Noto Sans" w:eastAsia="Century Gothic" w:hAnsi="Noto Sans" w:cs="Noto Sans"/>
          <w:sz w:val="22"/>
          <w:szCs w:val="22"/>
        </w:rPr>
        <w:t>DRE)</w:t>
      </w:r>
      <w:r w:rsidR="00DE34A1" w:rsidRPr="0089139F">
        <w:rPr>
          <w:rFonts w:ascii="Noto Sans" w:eastAsia="Century Gothic" w:hAnsi="Noto Sans" w:cs="Noto Sans"/>
          <w:sz w:val="22"/>
          <w:szCs w:val="22"/>
        </w:rPr>
        <w:t>.</w:t>
      </w:r>
    </w:p>
    <w:p w14:paraId="2D27F82E" w14:textId="77777777" w:rsidR="0031568C" w:rsidRPr="0089139F" w:rsidRDefault="0031568C" w:rsidP="000434FD">
      <w:pPr>
        <w:autoSpaceDE w:val="0"/>
        <w:autoSpaceDN w:val="0"/>
        <w:adjustRightInd w:val="0"/>
        <w:spacing w:line="276" w:lineRule="auto"/>
        <w:jc w:val="both"/>
        <w:rPr>
          <w:rFonts w:ascii="Noto Sans" w:eastAsia="Century Gothic" w:hAnsi="Noto Sans" w:cs="Noto Sans"/>
          <w:sz w:val="22"/>
          <w:szCs w:val="22"/>
        </w:rPr>
      </w:pPr>
    </w:p>
    <w:p w14:paraId="2D896B60" w14:textId="212A2C76" w:rsidR="00DE34A1" w:rsidRPr="0089139F" w:rsidRDefault="00DE34A1" w:rsidP="000434FD">
      <w:pPr>
        <w:autoSpaceDE w:val="0"/>
        <w:autoSpaceDN w:val="0"/>
        <w:adjustRightInd w:val="0"/>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El objetivo del Programa consiste en consolidar las acciones de protección, promoción de la salud y prevención de enfermedades mediante la identificación temprana y control de riesgos, así como el ingreso a tratamiento oportuno y específico de casos nuevos de algunas enfermedades infecciosas y transmisibles, sujetas a vigilancia epidemiológica,</w:t>
      </w:r>
      <w:r w:rsidR="0031568C" w:rsidRPr="0089139F">
        <w:rPr>
          <w:rFonts w:ascii="Noto Sans" w:eastAsia="Century Gothic" w:hAnsi="Noto Sans" w:cs="Noto Sans"/>
          <w:sz w:val="22"/>
          <w:szCs w:val="22"/>
        </w:rPr>
        <w:t xml:space="preserve"> así como enfermedades no transmisibles</w:t>
      </w:r>
      <w:r w:rsidRPr="0089139F">
        <w:rPr>
          <w:rFonts w:ascii="Noto Sans" w:eastAsia="Century Gothic" w:hAnsi="Noto Sans" w:cs="Noto Sans"/>
          <w:sz w:val="22"/>
          <w:szCs w:val="22"/>
        </w:rPr>
        <w:t xml:space="preserve"> que están bajo responsabilidad del CENAPRECE y la Dirección General de Epidemiológica (DGE), en apoyo como subsidios a las poblaciones de las 32 entidades federativas.</w:t>
      </w:r>
    </w:p>
    <w:p w14:paraId="756D8BE0" w14:textId="77777777" w:rsidR="00DE34A1" w:rsidRPr="0089139F" w:rsidRDefault="00DE34A1" w:rsidP="000434FD">
      <w:pPr>
        <w:autoSpaceDE w:val="0"/>
        <w:autoSpaceDN w:val="0"/>
        <w:adjustRightInd w:val="0"/>
        <w:spacing w:line="276" w:lineRule="auto"/>
        <w:jc w:val="both"/>
        <w:rPr>
          <w:rFonts w:ascii="Noto Sans" w:eastAsia="Century Gothic" w:hAnsi="Noto Sans" w:cs="Noto Sans"/>
          <w:sz w:val="22"/>
          <w:szCs w:val="22"/>
        </w:rPr>
      </w:pPr>
    </w:p>
    <w:p w14:paraId="2532C0A3" w14:textId="23E8A196" w:rsidR="00DE34A1" w:rsidRPr="0089139F" w:rsidRDefault="00DE34A1" w:rsidP="000C178D">
      <w:pPr>
        <w:pStyle w:val="NormalWeb"/>
        <w:shd w:val="clear" w:color="auto" w:fill="FFFFFF"/>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lastRenderedPageBreak/>
        <w:t>Para consolidar estas acciones, las Unidades Administrativas responsables del Programa transfieren recursos a los Servicios Estatales de Salud y Laboratorios Estatales de Salud Pública de las 32 entidades federativas, a través de la celebración del Convenio Específico en materia de Transferencia de Insumos y Ministración de Recursos Presupuestarios Federales (SaNAS) para realizar acciones en materia de Salud Pública en las Entidades Federativas. El objetivo de estos es ministrar insumos y recursos presupuestarios federales, en carácter de subsidios, a las entidades federativas, que permitan en términos de los artículos 9 y 13, apartado B de la Ley General de Salud, coordinar su participación con la Secretaría de Salud, para reforzar la realización de acciones en materia de salud pública, consideradas en el Modelo MAS-BIENESTAR que, contribuyan al cumplimiento de indicadores, metas para el bienestar y parámetros establecidos en los Programas de Acción Específicos y a su adecuada instrumentación e implementación como parte del Servicio Nacional de Salud Pública.</w:t>
      </w:r>
    </w:p>
    <w:p w14:paraId="2E8BAAAB" w14:textId="4FE2E43E" w:rsidR="005771D4" w:rsidRPr="0089139F" w:rsidRDefault="005771D4" w:rsidP="000C178D">
      <w:pPr>
        <w:pStyle w:val="NormalWeb"/>
        <w:shd w:val="clear" w:color="auto" w:fill="FFFFFF"/>
        <w:spacing w:line="276" w:lineRule="auto"/>
        <w:jc w:val="both"/>
        <w:rPr>
          <w:rFonts w:ascii="Noto Sans" w:eastAsia="Century Gothic" w:hAnsi="Noto Sans" w:cs="Noto Sans"/>
          <w:sz w:val="22"/>
          <w:szCs w:val="22"/>
        </w:rPr>
      </w:pPr>
    </w:p>
    <w:p w14:paraId="10826615" w14:textId="7E69575C" w:rsidR="00A857D3" w:rsidRPr="0089139F" w:rsidRDefault="00A857D3" w:rsidP="00A857D3">
      <w:pPr>
        <w:shd w:val="clear" w:color="auto" w:fill="FFFFFF"/>
        <w:spacing w:line="276" w:lineRule="auto"/>
        <w:jc w:val="both"/>
        <w:rPr>
          <w:rFonts w:ascii="Noto Sans" w:eastAsia="Century Gothic" w:hAnsi="Noto Sans" w:cs="Noto Sans"/>
          <w:b/>
          <w:sz w:val="22"/>
          <w:szCs w:val="22"/>
          <w:lang w:val="es-MX"/>
        </w:rPr>
      </w:pPr>
      <w:r w:rsidRPr="0089139F">
        <w:rPr>
          <w:rFonts w:ascii="Noto Sans" w:eastAsia="Century Gothic" w:hAnsi="Noto Sans" w:cs="Noto Sans"/>
          <w:b/>
          <w:sz w:val="22"/>
          <w:szCs w:val="22"/>
          <w:lang w:val="es-MX"/>
        </w:rPr>
        <w:t>Contexto epidemiológico para el Diagnóstico del programa presupuestario U009 “Vigilancia Epidemiológica”</w:t>
      </w:r>
    </w:p>
    <w:p w14:paraId="2A496E37" w14:textId="77777777" w:rsidR="00A857D3" w:rsidRPr="0089139F" w:rsidRDefault="00A857D3" w:rsidP="00A857D3">
      <w:pPr>
        <w:shd w:val="clear" w:color="auto" w:fill="FFFFFF"/>
        <w:spacing w:line="276" w:lineRule="auto"/>
        <w:jc w:val="both"/>
        <w:rPr>
          <w:rFonts w:ascii="Noto Sans" w:eastAsia="Century Gothic" w:hAnsi="Noto Sans" w:cs="Noto Sans"/>
          <w:b/>
          <w:sz w:val="22"/>
          <w:szCs w:val="22"/>
          <w:lang w:val="es-MX"/>
        </w:rPr>
      </w:pPr>
    </w:p>
    <w:p w14:paraId="7592E0CF"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El programa U009 “Vigilancia Epidemiológica” se basa en la recolección, análisis y difusión de datos epidemiológicos para la prevención, control y reducción de enfermedades en la población. A través de la vigilancia basada en indicadores se monitorean patologías, morbilidades, mortalidades y condiciones que impactan la salud pública en México. En 2024, se notificaron 34,758,601 casos de 178 enfermedades sujetas a vigilancia convencional a través del Sistema Único Automatizado para la Vigilancia Epidemiológica (SUAVE), que opera con alrededor de 25,000 unidades médicas en todo el país. Los principales padecimientos, como las infecciones respiratorias agudas, infecciones intestinales y de vías urinarias, continúan siendo los de mayor incidencia en México, afectando a un gran porcentaje de la población (tabla 1).</w:t>
      </w:r>
    </w:p>
    <w:p w14:paraId="1EC75359" w14:textId="433FC4A4" w:rsidR="00A857D3" w:rsidRPr="0089139F" w:rsidRDefault="00A857D3" w:rsidP="00A857D3">
      <w:pPr>
        <w:shd w:val="clear" w:color="auto" w:fill="FFFFFF"/>
        <w:spacing w:line="276" w:lineRule="auto"/>
        <w:rPr>
          <w:rFonts w:ascii="Noto Sans" w:eastAsia="Century Gothic" w:hAnsi="Noto Sans" w:cs="Noto Sans"/>
          <w:sz w:val="22"/>
          <w:szCs w:val="22"/>
          <w:lang w:val="es-MX"/>
        </w:rPr>
      </w:pPr>
      <w:r w:rsidRPr="0089139F">
        <w:rPr>
          <w:rFonts w:ascii="Noto Sans" w:eastAsia="Century Gothic" w:hAnsi="Noto Sans" w:cs="Noto Sans"/>
          <w:sz w:val="22"/>
          <w:szCs w:val="22"/>
        </w:rPr>
        <w:t>Tabla 1. Morbilidad de causas sujetas a Vigilancia Epidemiológica Convencional, d</w:t>
      </w:r>
      <w:r w:rsidRPr="0089139F">
        <w:rPr>
          <w:rFonts w:ascii="Noto Sans" w:eastAsia="Century Gothic" w:hAnsi="Noto Sans" w:cs="Noto Sans"/>
          <w:sz w:val="22"/>
          <w:szCs w:val="22"/>
          <w:lang w:val="es-MX"/>
        </w:rPr>
        <w:t>iez principales causas de enfermedad en México (2024 Información preliminar)</w:t>
      </w:r>
    </w:p>
    <w:p w14:paraId="0067A611"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s-MX"/>
        </w:rPr>
      </w:pPr>
    </w:p>
    <w:tbl>
      <w:tblPr>
        <w:tblStyle w:val="Tabladecuadrcula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5"/>
        <w:gridCol w:w="4223"/>
        <w:gridCol w:w="1341"/>
        <w:gridCol w:w="3346"/>
      </w:tblGrid>
      <w:tr w:rsidR="00A857D3" w:rsidRPr="0089139F" w14:paraId="09E4409D" w14:textId="77777777" w:rsidTr="00F2215C">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573" w:type="pct"/>
            <w:tcBorders>
              <w:top w:val="none" w:sz="0" w:space="0" w:color="auto"/>
              <w:left w:val="none" w:sz="0" w:space="0" w:color="auto"/>
              <w:bottom w:val="none" w:sz="0" w:space="0" w:color="auto"/>
              <w:right w:val="none" w:sz="0" w:space="0" w:color="auto"/>
            </w:tcBorders>
            <w:shd w:val="clear" w:color="auto" w:fill="auto"/>
            <w:hideMark/>
          </w:tcPr>
          <w:p w14:paraId="5FD53168"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Número</w:t>
            </w:r>
          </w:p>
        </w:tc>
        <w:tc>
          <w:tcPr>
            <w:tcW w:w="2103" w:type="pct"/>
            <w:tcBorders>
              <w:top w:val="none" w:sz="0" w:space="0" w:color="auto"/>
              <w:left w:val="none" w:sz="0" w:space="0" w:color="auto"/>
              <w:right w:val="none" w:sz="0" w:space="0" w:color="auto"/>
            </w:tcBorders>
            <w:shd w:val="clear" w:color="auto" w:fill="auto"/>
            <w:hideMark/>
          </w:tcPr>
          <w:p w14:paraId="10D545D7" w14:textId="77777777" w:rsidR="00A857D3" w:rsidRPr="0089139F" w:rsidRDefault="00A857D3" w:rsidP="00A857D3">
            <w:pPr>
              <w:shd w:val="clear" w:color="auto" w:fill="FFFFFF"/>
              <w:spacing w:line="276" w:lineRule="auto"/>
              <w:cnfStyle w:val="100000000000" w:firstRow="1"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Padecimiento</w:t>
            </w:r>
          </w:p>
        </w:tc>
        <w:tc>
          <w:tcPr>
            <w:tcW w:w="657" w:type="pct"/>
            <w:tcBorders>
              <w:top w:val="none" w:sz="0" w:space="0" w:color="auto"/>
              <w:left w:val="none" w:sz="0" w:space="0" w:color="auto"/>
              <w:right w:val="none" w:sz="0" w:space="0" w:color="auto"/>
            </w:tcBorders>
            <w:shd w:val="clear" w:color="auto" w:fill="auto"/>
            <w:hideMark/>
          </w:tcPr>
          <w:p w14:paraId="60E50186" w14:textId="77777777" w:rsidR="00A857D3" w:rsidRPr="0089139F" w:rsidRDefault="00A857D3" w:rsidP="00A857D3">
            <w:pPr>
              <w:shd w:val="clear" w:color="auto" w:fill="FFFFFF"/>
              <w:spacing w:line="276" w:lineRule="auto"/>
              <w:cnfStyle w:val="100000000000" w:firstRow="1"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Total</w:t>
            </w:r>
          </w:p>
        </w:tc>
        <w:tc>
          <w:tcPr>
            <w:tcW w:w="1667" w:type="pct"/>
            <w:tcBorders>
              <w:top w:val="none" w:sz="0" w:space="0" w:color="auto"/>
              <w:left w:val="none" w:sz="0" w:space="0" w:color="auto"/>
              <w:right w:val="none" w:sz="0" w:space="0" w:color="auto"/>
            </w:tcBorders>
            <w:shd w:val="clear" w:color="auto" w:fill="auto"/>
            <w:hideMark/>
          </w:tcPr>
          <w:p w14:paraId="4C786944" w14:textId="77777777" w:rsidR="00A857D3" w:rsidRPr="0089139F" w:rsidRDefault="00A857D3" w:rsidP="00A857D3">
            <w:pPr>
              <w:shd w:val="clear" w:color="auto" w:fill="FFFFFF"/>
              <w:spacing w:line="276" w:lineRule="auto"/>
              <w:cnfStyle w:val="100000000000" w:firstRow="1"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Tasa (por 100,000 habitantes)</w:t>
            </w:r>
          </w:p>
        </w:tc>
      </w:tr>
      <w:tr w:rsidR="00A857D3" w:rsidRPr="0089139F" w14:paraId="22757A12" w14:textId="77777777" w:rsidTr="00F2215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73" w:type="pct"/>
            <w:tcBorders>
              <w:top w:val="none" w:sz="0" w:space="0" w:color="auto"/>
              <w:left w:val="none" w:sz="0" w:space="0" w:color="auto"/>
              <w:bottom w:val="none" w:sz="0" w:space="0" w:color="auto"/>
            </w:tcBorders>
            <w:shd w:val="clear" w:color="auto" w:fill="auto"/>
            <w:hideMark/>
          </w:tcPr>
          <w:p w14:paraId="24763FE5"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1</w:t>
            </w:r>
          </w:p>
        </w:tc>
        <w:tc>
          <w:tcPr>
            <w:tcW w:w="2103" w:type="pct"/>
            <w:shd w:val="clear" w:color="auto" w:fill="auto"/>
            <w:hideMark/>
          </w:tcPr>
          <w:p w14:paraId="677DFDB2"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s-MX"/>
              </w:rPr>
            </w:pPr>
            <w:r w:rsidRPr="0089139F">
              <w:rPr>
                <w:rFonts w:ascii="Noto Sans" w:hAnsi="Noto Sans" w:cs="Noto Sans"/>
                <w:sz w:val="22"/>
                <w:szCs w:val="22"/>
              </w:rPr>
              <w:t>Infecciones respiratorias agudas</w:t>
            </w:r>
          </w:p>
        </w:tc>
        <w:tc>
          <w:tcPr>
            <w:tcW w:w="657" w:type="pct"/>
            <w:shd w:val="clear" w:color="auto" w:fill="auto"/>
            <w:hideMark/>
          </w:tcPr>
          <w:p w14:paraId="677A76C5"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16,838,427</w:t>
            </w:r>
          </w:p>
        </w:tc>
        <w:tc>
          <w:tcPr>
            <w:tcW w:w="1667" w:type="pct"/>
            <w:shd w:val="clear" w:color="auto" w:fill="auto"/>
            <w:hideMark/>
          </w:tcPr>
          <w:p w14:paraId="602B4CFD"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12,729.92</w:t>
            </w:r>
          </w:p>
        </w:tc>
      </w:tr>
      <w:tr w:rsidR="00A857D3" w:rsidRPr="0089139F" w14:paraId="7AAA3F60" w14:textId="77777777" w:rsidTr="00F2215C">
        <w:trPr>
          <w:trHeight w:val="20"/>
        </w:trPr>
        <w:tc>
          <w:tcPr>
            <w:cnfStyle w:val="001000000000" w:firstRow="0" w:lastRow="0" w:firstColumn="1" w:lastColumn="0" w:oddVBand="0" w:evenVBand="0" w:oddHBand="0" w:evenHBand="0" w:firstRowFirstColumn="0" w:firstRowLastColumn="0" w:lastRowFirstColumn="0" w:lastRowLastColumn="0"/>
            <w:tcW w:w="573" w:type="pct"/>
            <w:tcBorders>
              <w:top w:val="none" w:sz="0" w:space="0" w:color="auto"/>
              <w:left w:val="none" w:sz="0" w:space="0" w:color="auto"/>
              <w:bottom w:val="none" w:sz="0" w:space="0" w:color="auto"/>
            </w:tcBorders>
            <w:shd w:val="clear" w:color="auto" w:fill="auto"/>
            <w:hideMark/>
          </w:tcPr>
          <w:p w14:paraId="35EB94CA"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2</w:t>
            </w:r>
          </w:p>
        </w:tc>
        <w:tc>
          <w:tcPr>
            <w:tcW w:w="2103" w:type="pct"/>
            <w:shd w:val="clear" w:color="auto" w:fill="auto"/>
            <w:hideMark/>
          </w:tcPr>
          <w:p w14:paraId="29B7D8E2"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s-MX"/>
              </w:rPr>
            </w:pPr>
            <w:r w:rsidRPr="0089139F">
              <w:rPr>
                <w:rFonts w:ascii="Noto Sans" w:hAnsi="Noto Sans" w:cs="Noto Sans"/>
                <w:sz w:val="22"/>
                <w:szCs w:val="22"/>
              </w:rPr>
              <w:t>Infecciones intestinales por otros organismos y las mal definidas</w:t>
            </w:r>
          </w:p>
        </w:tc>
        <w:tc>
          <w:tcPr>
            <w:tcW w:w="657" w:type="pct"/>
            <w:shd w:val="clear" w:color="auto" w:fill="auto"/>
            <w:hideMark/>
          </w:tcPr>
          <w:p w14:paraId="0D08253B"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4,170,429</w:t>
            </w:r>
          </w:p>
        </w:tc>
        <w:tc>
          <w:tcPr>
            <w:tcW w:w="1667" w:type="pct"/>
            <w:shd w:val="clear" w:color="auto" w:fill="auto"/>
            <w:hideMark/>
          </w:tcPr>
          <w:p w14:paraId="0C88F4B8"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3,152.86</w:t>
            </w:r>
          </w:p>
        </w:tc>
      </w:tr>
      <w:tr w:rsidR="00A857D3" w:rsidRPr="0089139F" w14:paraId="56E8766F" w14:textId="77777777" w:rsidTr="00F2215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73" w:type="pct"/>
            <w:tcBorders>
              <w:top w:val="none" w:sz="0" w:space="0" w:color="auto"/>
              <w:left w:val="none" w:sz="0" w:space="0" w:color="auto"/>
              <w:bottom w:val="none" w:sz="0" w:space="0" w:color="auto"/>
            </w:tcBorders>
            <w:shd w:val="clear" w:color="auto" w:fill="auto"/>
            <w:hideMark/>
          </w:tcPr>
          <w:p w14:paraId="74CCA64F"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3</w:t>
            </w:r>
          </w:p>
        </w:tc>
        <w:tc>
          <w:tcPr>
            <w:tcW w:w="2103" w:type="pct"/>
            <w:shd w:val="clear" w:color="auto" w:fill="auto"/>
            <w:hideMark/>
          </w:tcPr>
          <w:p w14:paraId="6A151BC2"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s-MX"/>
              </w:rPr>
            </w:pPr>
            <w:r w:rsidRPr="0089139F">
              <w:rPr>
                <w:rFonts w:ascii="Noto Sans" w:hAnsi="Noto Sans" w:cs="Noto Sans"/>
                <w:sz w:val="22"/>
                <w:szCs w:val="22"/>
              </w:rPr>
              <w:t>Infección de vías urinarias</w:t>
            </w:r>
          </w:p>
        </w:tc>
        <w:tc>
          <w:tcPr>
            <w:tcW w:w="657" w:type="pct"/>
            <w:shd w:val="clear" w:color="auto" w:fill="auto"/>
            <w:hideMark/>
          </w:tcPr>
          <w:p w14:paraId="46D6D371"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3,559,679</w:t>
            </w:r>
          </w:p>
        </w:tc>
        <w:tc>
          <w:tcPr>
            <w:tcW w:w="1667" w:type="pct"/>
            <w:shd w:val="clear" w:color="auto" w:fill="auto"/>
            <w:hideMark/>
          </w:tcPr>
          <w:p w14:paraId="3A7A7A75"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2,691.13</w:t>
            </w:r>
          </w:p>
        </w:tc>
      </w:tr>
      <w:tr w:rsidR="00A857D3" w:rsidRPr="0089139F" w14:paraId="270C3287" w14:textId="77777777" w:rsidTr="00F2215C">
        <w:trPr>
          <w:trHeight w:val="20"/>
        </w:trPr>
        <w:tc>
          <w:tcPr>
            <w:cnfStyle w:val="001000000000" w:firstRow="0" w:lastRow="0" w:firstColumn="1" w:lastColumn="0" w:oddVBand="0" w:evenVBand="0" w:oddHBand="0" w:evenHBand="0" w:firstRowFirstColumn="0" w:firstRowLastColumn="0" w:lastRowFirstColumn="0" w:lastRowLastColumn="0"/>
            <w:tcW w:w="573" w:type="pct"/>
            <w:tcBorders>
              <w:top w:val="none" w:sz="0" w:space="0" w:color="auto"/>
              <w:left w:val="none" w:sz="0" w:space="0" w:color="auto"/>
              <w:bottom w:val="none" w:sz="0" w:space="0" w:color="auto"/>
            </w:tcBorders>
            <w:shd w:val="clear" w:color="auto" w:fill="auto"/>
            <w:hideMark/>
          </w:tcPr>
          <w:p w14:paraId="50760D79"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4</w:t>
            </w:r>
          </w:p>
        </w:tc>
        <w:tc>
          <w:tcPr>
            <w:tcW w:w="2103" w:type="pct"/>
            <w:shd w:val="clear" w:color="auto" w:fill="auto"/>
            <w:hideMark/>
          </w:tcPr>
          <w:p w14:paraId="5BEFB7A4"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s-MX"/>
              </w:rPr>
            </w:pPr>
            <w:r w:rsidRPr="0089139F">
              <w:rPr>
                <w:rFonts w:ascii="Noto Sans" w:hAnsi="Noto Sans" w:cs="Noto Sans"/>
                <w:sz w:val="22"/>
                <w:szCs w:val="22"/>
              </w:rPr>
              <w:t>Gingivitis y enfermedad periodontal</w:t>
            </w:r>
          </w:p>
        </w:tc>
        <w:tc>
          <w:tcPr>
            <w:tcW w:w="657" w:type="pct"/>
            <w:shd w:val="clear" w:color="auto" w:fill="auto"/>
            <w:hideMark/>
          </w:tcPr>
          <w:p w14:paraId="166502DF"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1,180,376</w:t>
            </w:r>
          </w:p>
        </w:tc>
        <w:tc>
          <w:tcPr>
            <w:tcW w:w="1667" w:type="pct"/>
            <w:shd w:val="clear" w:color="auto" w:fill="auto"/>
            <w:hideMark/>
          </w:tcPr>
          <w:p w14:paraId="3C2BD4E4"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892.37</w:t>
            </w:r>
          </w:p>
        </w:tc>
      </w:tr>
      <w:tr w:rsidR="00A857D3" w:rsidRPr="0089139F" w14:paraId="486A9309" w14:textId="77777777" w:rsidTr="00F2215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73" w:type="pct"/>
            <w:tcBorders>
              <w:top w:val="none" w:sz="0" w:space="0" w:color="auto"/>
              <w:left w:val="none" w:sz="0" w:space="0" w:color="auto"/>
              <w:bottom w:val="none" w:sz="0" w:space="0" w:color="auto"/>
            </w:tcBorders>
            <w:shd w:val="clear" w:color="auto" w:fill="auto"/>
            <w:hideMark/>
          </w:tcPr>
          <w:p w14:paraId="3C24F544"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5</w:t>
            </w:r>
          </w:p>
        </w:tc>
        <w:tc>
          <w:tcPr>
            <w:tcW w:w="2103" w:type="pct"/>
            <w:shd w:val="clear" w:color="auto" w:fill="auto"/>
            <w:hideMark/>
          </w:tcPr>
          <w:p w14:paraId="70E21462"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s-MX"/>
              </w:rPr>
            </w:pPr>
            <w:r w:rsidRPr="0089139F">
              <w:rPr>
                <w:rFonts w:ascii="Noto Sans" w:hAnsi="Noto Sans" w:cs="Noto Sans"/>
                <w:sz w:val="22"/>
                <w:szCs w:val="22"/>
              </w:rPr>
              <w:t>Úlceras, gastritis y duodenitis</w:t>
            </w:r>
          </w:p>
        </w:tc>
        <w:tc>
          <w:tcPr>
            <w:tcW w:w="657" w:type="pct"/>
            <w:shd w:val="clear" w:color="auto" w:fill="auto"/>
            <w:hideMark/>
          </w:tcPr>
          <w:p w14:paraId="2C34D5E9"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939,077</w:t>
            </w:r>
          </w:p>
        </w:tc>
        <w:tc>
          <w:tcPr>
            <w:tcW w:w="1667" w:type="pct"/>
            <w:shd w:val="clear" w:color="auto" w:fill="auto"/>
            <w:hideMark/>
          </w:tcPr>
          <w:p w14:paraId="01FF0B1D"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709.95</w:t>
            </w:r>
          </w:p>
        </w:tc>
      </w:tr>
      <w:tr w:rsidR="00A857D3" w:rsidRPr="0089139F" w14:paraId="2FA729FC" w14:textId="77777777" w:rsidTr="00F2215C">
        <w:trPr>
          <w:trHeight w:val="20"/>
        </w:trPr>
        <w:tc>
          <w:tcPr>
            <w:cnfStyle w:val="001000000000" w:firstRow="0" w:lastRow="0" w:firstColumn="1" w:lastColumn="0" w:oddVBand="0" w:evenVBand="0" w:oddHBand="0" w:evenHBand="0" w:firstRowFirstColumn="0" w:firstRowLastColumn="0" w:lastRowFirstColumn="0" w:lastRowLastColumn="0"/>
            <w:tcW w:w="573" w:type="pct"/>
            <w:tcBorders>
              <w:top w:val="none" w:sz="0" w:space="0" w:color="auto"/>
              <w:left w:val="none" w:sz="0" w:space="0" w:color="auto"/>
              <w:bottom w:val="none" w:sz="0" w:space="0" w:color="auto"/>
            </w:tcBorders>
            <w:shd w:val="clear" w:color="auto" w:fill="auto"/>
            <w:hideMark/>
          </w:tcPr>
          <w:p w14:paraId="0887EDBA"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6</w:t>
            </w:r>
          </w:p>
        </w:tc>
        <w:tc>
          <w:tcPr>
            <w:tcW w:w="2103" w:type="pct"/>
            <w:shd w:val="clear" w:color="auto" w:fill="auto"/>
            <w:hideMark/>
          </w:tcPr>
          <w:p w14:paraId="61B7A6A6"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Conjuntivitis</w:t>
            </w:r>
          </w:p>
        </w:tc>
        <w:tc>
          <w:tcPr>
            <w:tcW w:w="657" w:type="pct"/>
            <w:shd w:val="clear" w:color="auto" w:fill="auto"/>
            <w:hideMark/>
          </w:tcPr>
          <w:p w14:paraId="5D812357"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860,163</w:t>
            </w:r>
          </w:p>
        </w:tc>
        <w:tc>
          <w:tcPr>
            <w:tcW w:w="1667" w:type="pct"/>
            <w:shd w:val="clear" w:color="auto" w:fill="auto"/>
            <w:hideMark/>
          </w:tcPr>
          <w:p w14:paraId="3E35B62B"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650.29</w:t>
            </w:r>
          </w:p>
        </w:tc>
      </w:tr>
      <w:tr w:rsidR="00A857D3" w:rsidRPr="0089139F" w14:paraId="37986D27" w14:textId="77777777" w:rsidTr="00F2215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73" w:type="pct"/>
            <w:tcBorders>
              <w:top w:val="none" w:sz="0" w:space="0" w:color="auto"/>
              <w:left w:val="none" w:sz="0" w:space="0" w:color="auto"/>
              <w:bottom w:val="none" w:sz="0" w:space="0" w:color="auto"/>
            </w:tcBorders>
            <w:shd w:val="clear" w:color="auto" w:fill="auto"/>
            <w:hideMark/>
          </w:tcPr>
          <w:p w14:paraId="17C405EE"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n-US"/>
              </w:rPr>
            </w:pPr>
            <w:r w:rsidRPr="0089139F">
              <w:rPr>
                <w:rFonts w:ascii="Noto Sans" w:eastAsia="Century Gothic" w:hAnsi="Noto Sans" w:cs="Noto Sans"/>
                <w:sz w:val="22"/>
                <w:szCs w:val="22"/>
                <w:lang w:val="en-US"/>
              </w:rPr>
              <w:lastRenderedPageBreak/>
              <w:t>7</w:t>
            </w:r>
          </w:p>
        </w:tc>
        <w:tc>
          <w:tcPr>
            <w:tcW w:w="2103" w:type="pct"/>
            <w:shd w:val="clear" w:color="auto" w:fill="auto"/>
            <w:hideMark/>
          </w:tcPr>
          <w:p w14:paraId="56243AD9"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Vulvovaginitis</w:t>
            </w:r>
          </w:p>
        </w:tc>
        <w:tc>
          <w:tcPr>
            <w:tcW w:w="657" w:type="pct"/>
            <w:shd w:val="clear" w:color="auto" w:fill="auto"/>
            <w:hideMark/>
          </w:tcPr>
          <w:p w14:paraId="46F28A4C"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642,232</w:t>
            </w:r>
          </w:p>
        </w:tc>
        <w:tc>
          <w:tcPr>
            <w:tcW w:w="1667" w:type="pct"/>
            <w:shd w:val="clear" w:color="auto" w:fill="auto"/>
            <w:hideMark/>
          </w:tcPr>
          <w:p w14:paraId="61B05BED"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485.53</w:t>
            </w:r>
          </w:p>
        </w:tc>
      </w:tr>
      <w:tr w:rsidR="00A857D3" w:rsidRPr="0089139F" w14:paraId="04200788" w14:textId="77777777" w:rsidTr="00F2215C">
        <w:trPr>
          <w:trHeight w:val="20"/>
        </w:trPr>
        <w:tc>
          <w:tcPr>
            <w:cnfStyle w:val="001000000000" w:firstRow="0" w:lastRow="0" w:firstColumn="1" w:lastColumn="0" w:oddVBand="0" w:evenVBand="0" w:oddHBand="0" w:evenHBand="0" w:firstRowFirstColumn="0" w:firstRowLastColumn="0" w:lastRowFirstColumn="0" w:lastRowLastColumn="0"/>
            <w:tcW w:w="573" w:type="pct"/>
            <w:tcBorders>
              <w:top w:val="none" w:sz="0" w:space="0" w:color="auto"/>
              <w:left w:val="none" w:sz="0" w:space="0" w:color="auto"/>
              <w:bottom w:val="none" w:sz="0" w:space="0" w:color="auto"/>
            </w:tcBorders>
            <w:shd w:val="clear" w:color="auto" w:fill="auto"/>
            <w:hideMark/>
          </w:tcPr>
          <w:p w14:paraId="76A6F44D"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8</w:t>
            </w:r>
          </w:p>
        </w:tc>
        <w:tc>
          <w:tcPr>
            <w:tcW w:w="2103" w:type="pct"/>
            <w:shd w:val="clear" w:color="auto" w:fill="auto"/>
            <w:hideMark/>
          </w:tcPr>
          <w:p w14:paraId="7DF73750"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Obesidad</w:t>
            </w:r>
          </w:p>
        </w:tc>
        <w:tc>
          <w:tcPr>
            <w:tcW w:w="657" w:type="pct"/>
            <w:shd w:val="clear" w:color="auto" w:fill="auto"/>
            <w:hideMark/>
          </w:tcPr>
          <w:p w14:paraId="1011F652"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641,169</w:t>
            </w:r>
          </w:p>
        </w:tc>
        <w:tc>
          <w:tcPr>
            <w:tcW w:w="1667" w:type="pct"/>
            <w:shd w:val="clear" w:color="auto" w:fill="auto"/>
            <w:hideMark/>
          </w:tcPr>
          <w:p w14:paraId="1C235DD1"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484.73</w:t>
            </w:r>
          </w:p>
        </w:tc>
      </w:tr>
      <w:tr w:rsidR="00A857D3" w:rsidRPr="0089139F" w14:paraId="016D77EC" w14:textId="77777777" w:rsidTr="00F2215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73" w:type="pct"/>
            <w:tcBorders>
              <w:top w:val="none" w:sz="0" w:space="0" w:color="auto"/>
              <w:left w:val="none" w:sz="0" w:space="0" w:color="auto"/>
              <w:bottom w:val="none" w:sz="0" w:space="0" w:color="auto"/>
            </w:tcBorders>
            <w:shd w:val="clear" w:color="auto" w:fill="auto"/>
            <w:hideMark/>
          </w:tcPr>
          <w:p w14:paraId="190E798D"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9</w:t>
            </w:r>
          </w:p>
        </w:tc>
        <w:tc>
          <w:tcPr>
            <w:tcW w:w="2103" w:type="pct"/>
            <w:shd w:val="clear" w:color="auto" w:fill="auto"/>
            <w:hideMark/>
          </w:tcPr>
          <w:p w14:paraId="5B59CAD2"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s-MX"/>
              </w:rPr>
            </w:pPr>
            <w:r w:rsidRPr="0089139F">
              <w:rPr>
                <w:rFonts w:ascii="Noto Sans" w:hAnsi="Noto Sans" w:cs="Noto Sans"/>
                <w:sz w:val="22"/>
                <w:szCs w:val="22"/>
              </w:rPr>
              <w:t>Otitis media aguda</w:t>
            </w:r>
          </w:p>
        </w:tc>
        <w:tc>
          <w:tcPr>
            <w:tcW w:w="657" w:type="pct"/>
            <w:shd w:val="clear" w:color="auto" w:fill="auto"/>
            <w:hideMark/>
          </w:tcPr>
          <w:p w14:paraId="1EC6C7C3"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637,251</w:t>
            </w:r>
          </w:p>
        </w:tc>
        <w:tc>
          <w:tcPr>
            <w:tcW w:w="1667" w:type="pct"/>
            <w:shd w:val="clear" w:color="auto" w:fill="auto"/>
            <w:hideMark/>
          </w:tcPr>
          <w:p w14:paraId="4AEA45C7"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481.76</w:t>
            </w:r>
          </w:p>
        </w:tc>
      </w:tr>
      <w:tr w:rsidR="00A857D3" w:rsidRPr="0089139F" w14:paraId="05839306" w14:textId="77777777" w:rsidTr="00F2215C">
        <w:trPr>
          <w:trHeight w:val="20"/>
        </w:trPr>
        <w:tc>
          <w:tcPr>
            <w:cnfStyle w:val="001000000000" w:firstRow="0" w:lastRow="0" w:firstColumn="1" w:lastColumn="0" w:oddVBand="0" w:evenVBand="0" w:oddHBand="0" w:evenHBand="0" w:firstRowFirstColumn="0" w:firstRowLastColumn="0" w:lastRowFirstColumn="0" w:lastRowLastColumn="0"/>
            <w:tcW w:w="573" w:type="pct"/>
            <w:tcBorders>
              <w:top w:val="none" w:sz="0" w:space="0" w:color="auto"/>
              <w:left w:val="none" w:sz="0" w:space="0" w:color="auto"/>
              <w:bottom w:val="none" w:sz="0" w:space="0" w:color="auto"/>
            </w:tcBorders>
            <w:shd w:val="clear" w:color="auto" w:fill="auto"/>
            <w:hideMark/>
          </w:tcPr>
          <w:p w14:paraId="10159D5F"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10</w:t>
            </w:r>
          </w:p>
        </w:tc>
        <w:tc>
          <w:tcPr>
            <w:tcW w:w="2103" w:type="pct"/>
            <w:shd w:val="clear" w:color="auto" w:fill="auto"/>
            <w:hideMark/>
          </w:tcPr>
          <w:p w14:paraId="28430F51"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Hipertensión arterial</w:t>
            </w:r>
          </w:p>
        </w:tc>
        <w:tc>
          <w:tcPr>
            <w:tcW w:w="657" w:type="pct"/>
            <w:shd w:val="clear" w:color="auto" w:fill="auto"/>
            <w:hideMark/>
          </w:tcPr>
          <w:p w14:paraId="2FAF6D0B"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589,686</w:t>
            </w:r>
          </w:p>
        </w:tc>
        <w:tc>
          <w:tcPr>
            <w:tcW w:w="1667" w:type="pct"/>
            <w:shd w:val="clear" w:color="auto" w:fill="auto"/>
            <w:hideMark/>
          </w:tcPr>
          <w:p w14:paraId="77F717EF"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445.81</w:t>
            </w:r>
          </w:p>
        </w:tc>
      </w:tr>
      <w:tr w:rsidR="00A857D3" w:rsidRPr="0089139F" w14:paraId="33D890C1" w14:textId="77777777" w:rsidTr="00F2215C">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73" w:type="pct"/>
            <w:tcBorders>
              <w:top w:val="none" w:sz="0" w:space="0" w:color="auto"/>
              <w:left w:val="none" w:sz="0" w:space="0" w:color="auto"/>
              <w:bottom w:val="none" w:sz="0" w:space="0" w:color="auto"/>
            </w:tcBorders>
            <w:shd w:val="clear" w:color="auto" w:fill="auto"/>
            <w:hideMark/>
          </w:tcPr>
          <w:p w14:paraId="7E8A145B"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w:t>
            </w:r>
          </w:p>
        </w:tc>
        <w:tc>
          <w:tcPr>
            <w:tcW w:w="2103" w:type="pct"/>
            <w:shd w:val="clear" w:color="auto" w:fill="auto"/>
            <w:hideMark/>
          </w:tcPr>
          <w:p w14:paraId="123BE517"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Otras causas</w:t>
            </w:r>
          </w:p>
        </w:tc>
        <w:tc>
          <w:tcPr>
            <w:tcW w:w="657" w:type="pct"/>
            <w:shd w:val="clear" w:color="auto" w:fill="auto"/>
            <w:hideMark/>
          </w:tcPr>
          <w:p w14:paraId="1ED06AEA"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4,700,112</w:t>
            </w:r>
          </w:p>
        </w:tc>
        <w:tc>
          <w:tcPr>
            <w:tcW w:w="1667" w:type="pct"/>
            <w:shd w:val="clear" w:color="auto" w:fill="auto"/>
            <w:hideMark/>
          </w:tcPr>
          <w:p w14:paraId="3CA25864" w14:textId="77777777" w:rsidR="00A857D3" w:rsidRPr="0089139F" w:rsidRDefault="00A857D3" w:rsidP="00A857D3">
            <w:pPr>
              <w:shd w:val="clear" w:color="auto" w:fill="FFFFFF"/>
              <w:spacing w:line="276" w:lineRule="auto"/>
              <w:cnfStyle w:val="000000100000" w:firstRow="0" w:lastRow="0" w:firstColumn="0" w:lastColumn="0" w:oddVBand="0" w:evenVBand="0" w:oddHBand="1"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22,724.34</w:t>
            </w:r>
          </w:p>
        </w:tc>
      </w:tr>
      <w:tr w:rsidR="00A857D3" w:rsidRPr="0089139F" w14:paraId="28924640" w14:textId="77777777" w:rsidTr="00F2215C">
        <w:trPr>
          <w:trHeight w:val="20"/>
        </w:trPr>
        <w:tc>
          <w:tcPr>
            <w:cnfStyle w:val="001000000000" w:firstRow="0" w:lastRow="0" w:firstColumn="1" w:lastColumn="0" w:oddVBand="0" w:evenVBand="0" w:oddHBand="0" w:evenHBand="0" w:firstRowFirstColumn="0" w:firstRowLastColumn="0" w:lastRowFirstColumn="0" w:lastRowLastColumn="0"/>
            <w:tcW w:w="573" w:type="pct"/>
            <w:tcBorders>
              <w:top w:val="none" w:sz="0" w:space="0" w:color="auto"/>
              <w:left w:val="none" w:sz="0" w:space="0" w:color="auto"/>
              <w:bottom w:val="none" w:sz="0" w:space="0" w:color="auto"/>
            </w:tcBorders>
            <w:shd w:val="clear" w:color="auto" w:fill="auto"/>
            <w:hideMark/>
          </w:tcPr>
          <w:p w14:paraId="35884C1A"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n-US"/>
              </w:rPr>
            </w:pPr>
            <w:r w:rsidRPr="0089139F">
              <w:rPr>
                <w:rFonts w:ascii="Noto Sans" w:eastAsia="Century Gothic" w:hAnsi="Noto Sans" w:cs="Noto Sans"/>
                <w:sz w:val="22"/>
                <w:szCs w:val="22"/>
                <w:lang w:val="en-US"/>
              </w:rPr>
              <w:t>-</w:t>
            </w:r>
          </w:p>
        </w:tc>
        <w:tc>
          <w:tcPr>
            <w:tcW w:w="2103" w:type="pct"/>
            <w:shd w:val="clear" w:color="auto" w:fill="auto"/>
            <w:hideMark/>
          </w:tcPr>
          <w:p w14:paraId="48DC5C7C"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Total general</w:t>
            </w:r>
          </w:p>
        </w:tc>
        <w:tc>
          <w:tcPr>
            <w:tcW w:w="657" w:type="pct"/>
            <w:shd w:val="clear" w:color="auto" w:fill="auto"/>
            <w:hideMark/>
          </w:tcPr>
          <w:p w14:paraId="48D4CF1F"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34,758,601</w:t>
            </w:r>
          </w:p>
        </w:tc>
        <w:tc>
          <w:tcPr>
            <w:tcW w:w="1667" w:type="pct"/>
            <w:shd w:val="clear" w:color="auto" w:fill="auto"/>
            <w:hideMark/>
          </w:tcPr>
          <w:p w14:paraId="271ABC71" w14:textId="77777777" w:rsidR="00A857D3" w:rsidRPr="0089139F" w:rsidRDefault="00A857D3" w:rsidP="00A857D3">
            <w:pPr>
              <w:shd w:val="clear" w:color="auto" w:fill="FFFFFF"/>
              <w:spacing w:line="276" w:lineRule="auto"/>
              <w:cnfStyle w:val="000000000000" w:firstRow="0" w:lastRow="0" w:firstColumn="0" w:lastColumn="0" w:oddVBand="0" w:evenVBand="0" w:oddHBand="0" w:evenHBand="0" w:firstRowFirstColumn="0" w:firstRowLastColumn="0" w:lastRowFirstColumn="0" w:lastRowLastColumn="0"/>
              <w:rPr>
                <w:rFonts w:ascii="Noto Sans" w:eastAsia="Century Gothic" w:hAnsi="Noto Sans" w:cs="Noto Sans"/>
                <w:sz w:val="22"/>
                <w:szCs w:val="22"/>
                <w:lang w:val="en-US"/>
              </w:rPr>
            </w:pPr>
            <w:r w:rsidRPr="0089139F">
              <w:rPr>
                <w:rFonts w:ascii="Noto Sans" w:hAnsi="Noto Sans" w:cs="Noto Sans"/>
                <w:sz w:val="22"/>
                <w:szCs w:val="22"/>
              </w:rPr>
              <w:t>26,277.64</w:t>
            </w:r>
          </w:p>
        </w:tc>
      </w:tr>
    </w:tbl>
    <w:p w14:paraId="14A2AA34" w14:textId="5EC5A451" w:rsidR="00A857D3" w:rsidRPr="0089139F" w:rsidRDefault="00A857D3" w:rsidP="00A857D3">
      <w:pPr>
        <w:shd w:val="clear" w:color="auto" w:fill="FFFFFF"/>
        <w:spacing w:line="276" w:lineRule="auto"/>
        <w:rPr>
          <w:rFonts w:ascii="Noto Sans" w:eastAsia="Century Gothic" w:hAnsi="Noto Sans" w:cs="Noto Sans"/>
          <w:sz w:val="22"/>
          <w:szCs w:val="22"/>
          <w:lang w:val="es-MX"/>
        </w:rPr>
      </w:pPr>
      <w:r w:rsidRPr="0089139F">
        <w:rPr>
          <w:rFonts w:ascii="Noto Sans" w:eastAsia="Century Gothic" w:hAnsi="Noto Sans" w:cs="Noto Sans"/>
          <w:b/>
          <w:bCs/>
          <w:sz w:val="22"/>
          <w:szCs w:val="22"/>
          <w:lang w:val="es-MX"/>
        </w:rPr>
        <w:t>Fuente:</w:t>
      </w:r>
      <w:r w:rsidRPr="0089139F">
        <w:rPr>
          <w:rFonts w:ascii="Noto Sans" w:eastAsia="Century Gothic" w:hAnsi="Noto Sans" w:cs="Noto Sans"/>
          <w:sz w:val="22"/>
          <w:szCs w:val="22"/>
          <w:lang w:val="es-MX"/>
        </w:rPr>
        <w:t xml:space="preserve"> SUIVE/DGE/Secretaría de Salud/Estados Unidos Mexicanos</w:t>
      </w:r>
    </w:p>
    <w:p w14:paraId="5F3DB2C2" w14:textId="77777777" w:rsidR="00A857D3" w:rsidRPr="0089139F" w:rsidRDefault="00A857D3" w:rsidP="00A857D3">
      <w:pPr>
        <w:shd w:val="clear" w:color="auto" w:fill="FFFFFF"/>
        <w:spacing w:line="276" w:lineRule="auto"/>
        <w:rPr>
          <w:rFonts w:ascii="Noto Sans" w:eastAsia="Century Gothic" w:hAnsi="Noto Sans" w:cs="Noto Sans"/>
          <w:sz w:val="22"/>
          <w:szCs w:val="22"/>
          <w:lang w:val="es-MX"/>
        </w:rPr>
      </w:pPr>
    </w:p>
    <w:p w14:paraId="3F684217" w14:textId="5F08126B" w:rsidR="00A857D3" w:rsidRPr="0089139F" w:rsidRDefault="00A857D3" w:rsidP="00F2215C">
      <w:pPr>
        <w:shd w:val="clear" w:color="auto" w:fill="FFFFFF"/>
        <w:spacing w:line="276" w:lineRule="auto"/>
        <w:jc w:val="both"/>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 xml:space="preserve">En cuanto a la mortalidad, el Sistema Estadístico y Epidemiológico de Defunciones (SEED) registró de forma preliminar 17,281 defunciones con causas sujetas a vigilancia epidemiológica. El COVID-19 sigue siendo una de las principales cinco causas de mortalidad sujeta a vigilancia epidemiológica en el país. </w:t>
      </w:r>
    </w:p>
    <w:p w14:paraId="53B76DE8" w14:textId="77777777" w:rsidR="00A857D3" w:rsidRPr="0089139F" w:rsidRDefault="00A857D3" w:rsidP="00F2215C">
      <w:pPr>
        <w:shd w:val="clear" w:color="auto" w:fill="FFFFFF"/>
        <w:spacing w:line="276" w:lineRule="auto"/>
        <w:jc w:val="both"/>
        <w:rPr>
          <w:rFonts w:ascii="Noto Sans" w:eastAsia="Century Gothic" w:hAnsi="Noto Sans" w:cs="Noto Sans"/>
          <w:sz w:val="22"/>
          <w:szCs w:val="22"/>
          <w:lang w:val="es-MX"/>
        </w:rPr>
      </w:pPr>
    </w:p>
    <w:p w14:paraId="1DBC44D9" w14:textId="011E7EA1" w:rsidR="00A857D3" w:rsidRPr="0089139F" w:rsidRDefault="00A857D3" w:rsidP="00F2215C">
      <w:pPr>
        <w:shd w:val="clear" w:color="auto" w:fill="FFFFFF"/>
        <w:spacing w:line="276" w:lineRule="auto"/>
        <w:jc w:val="both"/>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En cuanto a las Infecciones Asociadas a la Atención de la Salud (IAAS), En el año 2024, la Red Hospitalaria de Vigilancia Epidemiológica (RHoVE) registró 111,510 casos de Infecciones Asociadas a la Atención de la Salud (IAAS), casi el doble en comparación con los 58,604 casos reportados en 2023. Este aumento se debe, en parte, a la incorporación del IMSS ordinario a la red, incrementando el número de unidades centinela de 356 a 453. La incidencia de IAAS fue de 3.03 casos por cada 100 egresos hospitalarios, lo que representa un ligero incremento respecto a la incidencia de 2023, que fue de 2.81.</w:t>
      </w:r>
    </w:p>
    <w:p w14:paraId="09EC87D6" w14:textId="77777777" w:rsidR="00A857D3" w:rsidRPr="0089139F" w:rsidRDefault="00A857D3" w:rsidP="00F2215C">
      <w:pPr>
        <w:shd w:val="clear" w:color="auto" w:fill="FFFFFF"/>
        <w:spacing w:line="276" w:lineRule="auto"/>
        <w:jc w:val="both"/>
        <w:rPr>
          <w:rFonts w:ascii="Noto Sans" w:eastAsia="Century Gothic" w:hAnsi="Noto Sans" w:cs="Noto Sans"/>
          <w:sz w:val="22"/>
          <w:szCs w:val="22"/>
          <w:lang w:val="es-MX"/>
        </w:rPr>
      </w:pPr>
    </w:p>
    <w:p w14:paraId="5AAA002A" w14:textId="7E0ABDC3" w:rsidR="00A857D3" w:rsidRPr="0089139F" w:rsidRDefault="00A857D3" w:rsidP="00F2215C">
      <w:pPr>
        <w:shd w:val="clear" w:color="auto" w:fill="FFFFFF"/>
        <w:spacing w:line="276" w:lineRule="auto"/>
        <w:jc w:val="both"/>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 xml:space="preserve">El Sistema de Vigilancia Epidemiológica de Patologías Bucales (SIVEPAB) durante el año </w:t>
      </w:r>
      <w:r w:rsidR="0089139F" w:rsidRPr="0089139F">
        <w:rPr>
          <w:rFonts w:ascii="Noto Sans" w:eastAsia="Century Gothic" w:hAnsi="Noto Sans" w:cs="Noto Sans"/>
          <w:sz w:val="22"/>
          <w:szCs w:val="22"/>
          <w:lang w:val="es-MX"/>
        </w:rPr>
        <w:t>2024 de</w:t>
      </w:r>
      <w:r w:rsidRPr="0089139F">
        <w:rPr>
          <w:rFonts w:ascii="Noto Sans" w:eastAsia="Century Gothic" w:hAnsi="Noto Sans" w:cs="Noto Sans"/>
          <w:sz w:val="22"/>
          <w:szCs w:val="22"/>
          <w:lang w:val="es-MX"/>
        </w:rPr>
        <w:t xml:space="preserve"> forma preliminar examinó 54,924 niños y niñas de cero a 14 años y 71.9% tienen caries en una o ambas denticiones y examinó 24,019 adolescentes de 15 a 19 años y 75.4% tienen caries en la dentición permanente. Respecto al consumo de sustancias adictivas, el Sistema de Vigilancia Epidemiológica de las Adicciones (SISVEA) reportó 118,206 personas que demandaron atención en Centros de Tratamiento no Gubernamentales, donde seis de cada diez fue por metanfetaminas (cristal), principalmente hombres </w:t>
      </w:r>
      <w:r w:rsidR="0089139F" w:rsidRPr="0089139F">
        <w:rPr>
          <w:rFonts w:ascii="Noto Sans" w:eastAsia="Century Gothic" w:hAnsi="Noto Sans" w:cs="Noto Sans"/>
          <w:sz w:val="22"/>
          <w:szCs w:val="22"/>
          <w:lang w:val="es-MX"/>
        </w:rPr>
        <w:t>entre a</w:t>
      </w:r>
      <w:r w:rsidRPr="0089139F">
        <w:rPr>
          <w:rFonts w:ascii="Noto Sans" w:eastAsia="Century Gothic" w:hAnsi="Noto Sans" w:cs="Noto Sans"/>
          <w:sz w:val="22"/>
          <w:szCs w:val="22"/>
          <w:lang w:val="es-MX"/>
        </w:rPr>
        <w:t xml:space="preserve"> 20 a 39 años</w:t>
      </w:r>
    </w:p>
    <w:p w14:paraId="54C969FB" w14:textId="77777777" w:rsidR="00A857D3" w:rsidRPr="0089139F" w:rsidRDefault="00A857D3" w:rsidP="00F2215C">
      <w:pPr>
        <w:pStyle w:val="NormalWeb"/>
        <w:shd w:val="clear" w:color="auto" w:fill="FFFFFF"/>
        <w:spacing w:line="276" w:lineRule="auto"/>
        <w:rPr>
          <w:rFonts w:ascii="Noto Sans" w:eastAsia="Century Gothic" w:hAnsi="Noto Sans" w:cs="Noto Sans"/>
          <w:sz w:val="22"/>
          <w:szCs w:val="22"/>
          <w:lang w:val="es-MX"/>
        </w:rPr>
      </w:pPr>
    </w:p>
    <w:p w14:paraId="42DD07FD" w14:textId="5B630AE1" w:rsidR="005771D4" w:rsidRPr="0089139F" w:rsidRDefault="005771D4" w:rsidP="0089139F">
      <w:pPr>
        <w:pStyle w:val="NormalWeb"/>
        <w:shd w:val="clear" w:color="auto" w:fill="FFFFFF"/>
        <w:spacing w:line="276" w:lineRule="auto"/>
        <w:jc w:val="both"/>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La vigilancia epidemiológica de la mortalidad materna permitió una reducción del 20.5% en la Razón de Muerte Materna (RMM) de 2018 a 2023, con hemorragias obstétricas y enfermedades hipertensivas como las principales causas. El Sistema de Vigilancia Epidemiológica de Daños por Temperaturas Naturales Extremas observó un aumento en los casos relacionados con olas de calor y frío. A través de la vigilancia epidemiológica con el sistema hospitalario de Diabetes Mellitus Tipo 2, se observó que el año 2023 fue el año que más se notificó al sistema con un total de 42,402 casos notificados, representando un incremento en la notificación del 96.8% y 23.03% en relación con lo reportado al cierre 2021 y 2022, respectivamente.</w:t>
      </w:r>
    </w:p>
    <w:p w14:paraId="34883B32" w14:textId="77777777" w:rsidR="005771D4" w:rsidRPr="0089139F" w:rsidRDefault="005771D4" w:rsidP="0089139F">
      <w:pPr>
        <w:pStyle w:val="NormalWeb"/>
        <w:shd w:val="clear" w:color="auto" w:fill="FFFFFF"/>
        <w:spacing w:line="276" w:lineRule="auto"/>
        <w:jc w:val="both"/>
        <w:rPr>
          <w:rFonts w:ascii="Noto Sans" w:eastAsia="Century Gothic" w:hAnsi="Noto Sans" w:cs="Noto Sans"/>
          <w:sz w:val="22"/>
          <w:szCs w:val="22"/>
          <w:lang w:val="es-MX"/>
        </w:rPr>
      </w:pPr>
      <w:r w:rsidRPr="0089139F">
        <w:rPr>
          <w:rFonts w:ascii="Noto Sans" w:eastAsia="Century Gothic" w:hAnsi="Noto Sans" w:cs="Noto Sans"/>
          <w:sz w:val="22"/>
          <w:szCs w:val="22"/>
          <w:lang w:val="es-MX"/>
        </w:rPr>
        <w:lastRenderedPageBreak/>
        <w:t>El Sistema de Vigilancia Epidemiológica de Muerte Materna reportó 235 muertes hasta septiembre de 2023, lo que representa una reducción en la RMM en un 12% respecto al año anterior. Las complicaciones por COVID-19 y enfermedades hipertensivas durante el embarazo siguen siendo las principales causas de muerte materna.</w:t>
      </w:r>
    </w:p>
    <w:p w14:paraId="6953AF2C" w14:textId="23E82E4B" w:rsidR="005771D4" w:rsidRPr="0089139F" w:rsidRDefault="005771D4" w:rsidP="0089139F">
      <w:pPr>
        <w:pStyle w:val="NormalWeb"/>
        <w:shd w:val="clear" w:color="auto" w:fill="FFFFFF"/>
        <w:spacing w:line="276" w:lineRule="auto"/>
        <w:jc w:val="both"/>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 xml:space="preserve">En cuanto a defectos al nacimiento, el Sistema de Vigilancia observó un incremento en los casos notificados tras la pandemia, destacando el labio y/o paladar hendido como el defecto craneofacial más común. </w:t>
      </w:r>
    </w:p>
    <w:p w14:paraId="1D44BE54" w14:textId="77777777" w:rsidR="006C503B" w:rsidRPr="0089139F" w:rsidRDefault="006C503B" w:rsidP="0089139F">
      <w:pPr>
        <w:pStyle w:val="NormalWeb"/>
        <w:shd w:val="clear" w:color="auto" w:fill="FFFFFF"/>
        <w:spacing w:line="276" w:lineRule="auto"/>
        <w:jc w:val="both"/>
        <w:rPr>
          <w:rFonts w:ascii="Noto Sans" w:eastAsia="Century Gothic" w:hAnsi="Noto Sans" w:cs="Noto Sans"/>
          <w:sz w:val="22"/>
          <w:szCs w:val="22"/>
          <w:lang w:val="es-MX"/>
        </w:rPr>
      </w:pPr>
    </w:p>
    <w:p w14:paraId="5A1D143B" w14:textId="77777777" w:rsidR="008D57F4" w:rsidRPr="0089139F" w:rsidRDefault="008D57F4" w:rsidP="0089139F">
      <w:pPr>
        <w:pStyle w:val="NormalWeb"/>
        <w:jc w:val="both"/>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Durante el año 2023, se registraron 25, 430 casos de tuberculosis en todas sus formas, con una incidencia nacional de 19.4, siendo la Tuberculosis pulmonar, la forma con mayor incidencia;</w:t>
      </w:r>
    </w:p>
    <w:p w14:paraId="289DF92C" w14:textId="77777777" w:rsidR="008D57F4" w:rsidRPr="0089139F" w:rsidRDefault="008D57F4" w:rsidP="0089139F">
      <w:pPr>
        <w:pStyle w:val="NormalWeb"/>
        <w:jc w:val="both"/>
        <w:rPr>
          <w:rFonts w:ascii="Noto Sans" w:eastAsia="Century Gothic" w:hAnsi="Noto Sans" w:cs="Noto Sans"/>
          <w:sz w:val="22"/>
          <w:szCs w:val="22"/>
          <w:lang w:val="es-MX"/>
        </w:rPr>
      </w:pPr>
    </w:p>
    <w:p w14:paraId="4F6CC960" w14:textId="0B67F49F" w:rsidR="008D57F4" w:rsidRPr="0089139F" w:rsidRDefault="008D57F4" w:rsidP="0089139F">
      <w:pPr>
        <w:pStyle w:val="NormalWeb"/>
        <w:jc w:val="both"/>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 xml:space="preserve">En ese mismo año, se registraron 16, 941 casos del Virus de Inmunodeficiencia Humana (VIH), los estados con mayor incidencia fueron Quintana Roo, Colima, Yucatán y </w:t>
      </w:r>
      <w:r w:rsidR="0089139F" w:rsidRPr="0089139F">
        <w:rPr>
          <w:rFonts w:ascii="Noto Sans" w:eastAsia="Century Gothic" w:hAnsi="Noto Sans" w:cs="Noto Sans"/>
          <w:sz w:val="22"/>
          <w:szCs w:val="22"/>
          <w:lang w:val="es-MX"/>
        </w:rPr>
        <w:t>Tabasco,</w:t>
      </w:r>
      <w:r w:rsidRPr="0089139F">
        <w:rPr>
          <w:rFonts w:ascii="Noto Sans" w:eastAsia="Century Gothic" w:hAnsi="Noto Sans" w:cs="Noto Sans"/>
          <w:sz w:val="22"/>
          <w:szCs w:val="22"/>
          <w:lang w:val="es-MX"/>
        </w:rPr>
        <w:t xml:space="preserve"> la mayoría de los casos notificados se encontraban en estadio 1, mientras que la curva epidémica de COVID-19 mostró un repunte en la semana epidemiológica 35. En relación con la influenza, los casos aumentaron durante el invierno y se redujeron en primavera, siendo la Ciudad de México, Nuevo León y Veracruz los estados con mayor incidencia (Gráfica 1).</w:t>
      </w:r>
    </w:p>
    <w:p w14:paraId="1B765127" w14:textId="77777777" w:rsidR="008D57F4" w:rsidRPr="0089139F" w:rsidRDefault="008D57F4" w:rsidP="008D57F4">
      <w:pPr>
        <w:pStyle w:val="NormalWeb"/>
        <w:rPr>
          <w:rFonts w:ascii="Noto Sans" w:eastAsia="Century Gothic" w:hAnsi="Noto Sans" w:cs="Noto Sans"/>
          <w:sz w:val="22"/>
          <w:szCs w:val="22"/>
          <w:lang w:val="es-MX"/>
        </w:rPr>
      </w:pPr>
    </w:p>
    <w:p w14:paraId="25140083" w14:textId="77777777" w:rsidR="008D57F4" w:rsidRPr="0089139F" w:rsidRDefault="008D57F4" w:rsidP="008D57F4">
      <w:pPr>
        <w:pStyle w:val="NormalWeb"/>
        <w:rPr>
          <w:rFonts w:ascii="Noto Sans" w:eastAsia="Century Gothic" w:hAnsi="Noto Sans" w:cs="Noto Sans"/>
          <w:b/>
          <w:sz w:val="22"/>
          <w:szCs w:val="22"/>
          <w:lang w:val="es-MX"/>
        </w:rPr>
      </w:pPr>
      <w:r w:rsidRPr="0089139F">
        <w:rPr>
          <w:rFonts w:ascii="Noto Sans" w:eastAsia="Century Gothic" w:hAnsi="Noto Sans" w:cs="Noto Sans"/>
          <w:b/>
          <w:sz w:val="22"/>
          <w:szCs w:val="22"/>
          <w:lang w:val="es-MX"/>
        </w:rPr>
        <w:t>Gráfica 1. Casos e incidencia de Tuberculosis Todas Formas por Entidad Federativa; México, 2023</w:t>
      </w:r>
    </w:p>
    <w:p w14:paraId="0B64760A" w14:textId="77777777" w:rsidR="008D57F4" w:rsidRPr="0089139F" w:rsidRDefault="008D57F4" w:rsidP="008D57F4">
      <w:pPr>
        <w:pStyle w:val="NormalWeb"/>
        <w:rPr>
          <w:rFonts w:ascii="Noto Sans" w:eastAsia="Century Gothic" w:hAnsi="Noto Sans" w:cs="Noto Sans"/>
          <w:sz w:val="22"/>
          <w:szCs w:val="22"/>
        </w:rPr>
      </w:pPr>
      <w:r w:rsidRPr="0089139F">
        <w:rPr>
          <w:rFonts w:ascii="Noto Sans" w:eastAsia="Century Gothic" w:hAnsi="Noto Sans" w:cs="Noto Sans"/>
          <w:noProof/>
          <w:sz w:val="22"/>
          <w:szCs w:val="22"/>
          <w:lang w:val="es-MX"/>
        </w:rPr>
        <w:drawing>
          <wp:inline distT="0" distB="0" distL="0" distR="0" wp14:anchorId="2E9CDD41" wp14:editId="05BB3D22">
            <wp:extent cx="5668645" cy="2486025"/>
            <wp:effectExtent l="0" t="0" r="0" b="952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6516" cy="2507019"/>
                    </a:xfrm>
                    <a:prstGeom prst="rect">
                      <a:avLst/>
                    </a:prstGeom>
                    <a:noFill/>
                  </pic:spPr>
                </pic:pic>
              </a:graphicData>
            </a:graphic>
          </wp:inline>
        </w:drawing>
      </w:r>
    </w:p>
    <w:p w14:paraId="281105F2" w14:textId="77777777" w:rsidR="008D57F4" w:rsidRPr="0089139F" w:rsidRDefault="008D57F4" w:rsidP="008D57F4">
      <w:pPr>
        <w:pStyle w:val="NormalWeb"/>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 xml:space="preserve">La notificación de VIH se realizó principalmente en el estadio 1. </w:t>
      </w:r>
    </w:p>
    <w:p w14:paraId="301DE41D" w14:textId="0C85516A" w:rsidR="008D57F4" w:rsidRPr="0089139F" w:rsidRDefault="008D57F4" w:rsidP="008D57F4">
      <w:pPr>
        <w:pStyle w:val="NormalWeb"/>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 xml:space="preserve">Durante 2023, la curva epidémica de COVID-19 mostró una tendencia al descenso hasta la semana 24, con posterior ascenso y nuevo descenso hasta la semana 44, observándose un ligero ascenso en las últimas semanas del año. Durante la temporada estacional 2023-2024, se confirmaron 5,000 casos a influenza principalmente en Nuevo León, Ciudad de México, Zacatecas, Puebla y Querétaro, respecto a los otros virus respiratorios se confirmaron 3,131 casos, siendo el virus sincicial respiratorio el que más predominó. </w:t>
      </w:r>
    </w:p>
    <w:p w14:paraId="05C50627" w14:textId="77777777" w:rsidR="008D57F4" w:rsidRPr="0089139F" w:rsidRDefault="008D57F4" w:rsidP="008D57F4">
      <w:pPr>
        <w:pStyle w:val="NormalWeb"/>
        <w:rPr>
          <w:rFonts w:ascii="Noto Sans" w:eastAsia="Century Gothic" w:hAnsi="Noto Sans" w:cs="Noto Sans"/>
          <w:b/>
          <w:sz w:val="22"/>
          <w:szCs w:val="22"/>
        </w:rPr>
      </w:pPr>
      <w:r w:rsidRPr="0089139F">
        <w:rPr>
          <w:rFonts w:ascii="Noto Sans" w:eastAsia="Century Gothic" w:hAnsi="Noto Sans" w:cs="Noto Sans"/>
          <w:b/>
          <w:sz w:val="22"/>
          <w:szCs w:val="22"/>
        </w:rPr>
        <w:lastRenderedPageBreak/>
        <w:t>Gráfica 2. Curva epidémica de casos confirmados y positividad por la COVID-19 por semana epidemiológica, SE 52, México 2023</w:t>
      </w:r>
    </w:p>
    <w:p w14:paraId="7289C2EF" w14:textId="77777777" w:rsidR="008D57F4" w:rsidRPr="0089139F" w:rsidRDefault="008D57F4" w:rsidP="008D57F4">
      <w:pPr>
        <w:pStyle w:val="NormalWeb"/>
        <w:rPr>
          <w:rFonts w:ascii="Noto Sans" w:eastAsia="Century Gothic" w:hAnsi="Noto Sans" w:cs="Noto Sans"/>
          <w:sz w:val="22"/>
          <w:szCs w:val="22"/>
          <w:lang w:val="es-MX"/>
        </w:rPr>
      </w:pPr>
      <w:r w:rsidRPr="0089139F">
        <w:rPr>
          <w:rFonts w:ascii="Noto Sans" w:eastAsia="Century Gothic" w:hAnsi="Noto Sans" w:cs="Noto Sans"/>
          <w:noProof/>
          <w:sz w:val="22"/>
          <w:szCs w:val="22"/>
          <w:lang w:val="es-MX"/>
        </w:rPr>
        <w:drawing>
          <wp:inline distT="0" distB="0" distL="0" distR="0" wp14:anchorId="14EAB807" wp14:editId="75D8BC7E">
            <wp:extent cx="5894705" cy="3343275"/>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14204" cy="3411051"/>
                    </a:xfrm>
                    <a:prstGeom prst="rect">
                      <a:avLst/>
                    </a:prstGeom>
                    <a:noFill/>
                  </pic:spPr>
                </pic:pic>
              </a:graphicData>
            </a:graphic>
          </wp:inline>
        </w:drawing>
      </w:r>
    </w:p>
    <w:p w14:paraId="2A083094" w14:textId="77777777" w:rsidR="008D57F4" w:rsidRPr="0089139F" w:rsidRDefault="008D57F4" w:rsidP="008D57F4">
      <w:pPr>
        <w:pStyle w:val="NormalWeb"/>
        <w:rPr>
          <w:rFonts w:ascii="Noto Sans" w:eastAsia="Century Gothic" w:hAnsi="Noto Sans" w:cs="Noto Sans"/>
          <w:b/>
          <w:sz w:val="22"/>
          <w:szCs w:val="22"/>
        </w:rPr>
      </w:pPr>
    </w:p>
    <w:p w14:paraId="173C6B05" w14:textId="77777777" w:rsidR="008D57F4" w:rsidRPr="0089139F" w:rsidRDefault="008D57F4" w:rsidP="008D57F4">
      <w:pPr>
        <w:pStyle w:val="NormalWeb"/>
        <w:rPr>
          <w:rFonts w:ascii="Noto Sans" w:eastAsia="Century Gothic" w:hAnsi="Noto Sans" w:cs="Noto Sans"/>
          <w:b/>
          <w:sz w:val="22"/>
          <w:szCs w:val="22"/>
        </w:rPr>
      </w:pPr>
      <w:r w:rsidRPr="0089139F">
        <w:rPr>
          <w:rFonts w:ascii="Noto Sans" w:eastAsia="Century Gothic" w:hAnsi="Noto Sans" w:cs="Noto Sans"/>
          <w:b/>
          <w:sz w:val="22"/>
          <w:szCs w:val="22"/>
        </w:rPr>
        <w:t>Gráfica 3. Casos confirmados de influenza por entidad federativa, Temporada estacional 2023-2024, SE 40 a 52, México 2023</w:t>
      </w:r>
    </w:p>
    <w:p w14:paraId="03E25CB6" w14:textId="77777777" w:rsidR="008D57F4" w:rsidRPr="0089139F" w:rsidRDefault="008D57F4" w:rsidP="0089139F">
      <w:pPr>
        <w:pStyle w:val="NormalWeb"/>
        <w:jc w:val="center"/>
        <w:rPr>
          <w:rFonts w:ascii="Noto Sans" w:eastAsia="Century Gothic" w:hAnsi="Noto Sans" w:cs="Noto Sans"/>
          <w:sz w:val="22"/>
          <w:szCs w:val="22"/>
        </w:rPr>
      </w:pPr>
      <w:r w:rsidRPr="0089139F">
        <w:rPr>
          <w:rFonts w:ascii="Noto Sans" w:eastAsia="Century Gothic" w:hAnsi="Noto Sans" w:cs="Noto Sans"/>
          <w:noProof/>
          <w:sz w:val="22"/>
          <w:szCs w:val="22"/>
          <w:lang w:val="es-MX"/>
        </w:rPr>
        <w:drawing>
          <wp:inline distT="0" distB="0" distL="0" distR="0" wp14:anchorId="78108517" wp14:editId="002E5F2B">
            <wp:extent cx="5024755" cy="3543300"/>
            <wp:effectExtent l="0" t="0" r="444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56671" cy="3565806"/>
                    </a:xfrm>
                    <a:prstGeom prst="rect">
                      <a:avLst/>
                    </a:prstGeom>
                    <a:noFill/>
                  </pic:spPr>
                </pic:pic>
              </a:graphicData>
            </a:graphic>
          </wp:inline>
        </w:drawing>
      </w:r>
    </w:p>
    <w:p w14:paraId="1E0B66F2" w14:textId="77777777" w:rsidR="008D57F4" w:rsidRPr="0089139F" w:rsidRDefault="008D57F4" w:rsidP="008D57F4">
      <w:pPr>
        <w:pStyle w:val="NormalWeb"/>
        <w:rPr>
          <w:rFonts w:ascii="Noto Sans" w:eastAsia="Century Gothic" w:hAnsi="Noto Sans" w:cs="Noto Sans"/>
          <w:b/>
          <w:sz w:val="22"/>
          <w:szCs w:val="22"/>
        </w:rPr>
      </w:pPr>
      <w:r w:rsidRPr="0089139F">
        <w:rPr>
          <w:rFonts w:ascii="Noto Sans" w:eastAsia="Century Gothic" w:hAnsi="Noto Sans" w:cs="Noto Sans"/>
          <w:b/>
          <w:sz w:val="22"/>
          <w:szCs w:val="22"/>
        </w:rPr>
        <w:lastRenderedPageBreak/>
        <w:t>Gráfica 4. Casos positivos de Otros Virus Respiratorios (OVR) por semana epidemiológica en SISVER, Temporada estacional 2023-2024, SE 40 a 52, México 2023</w:t>
      </w:r>
    </w:p>
    <w:p w14:paraId="36790790" w14:textId="77777777" w:rsidR="008D57F4" w:rsidRPr="0089139F" w:rsidRDefault="008D57F4" w:rsidP="008D57F4">
      <w:pPr>
        <w:pStyle w:val="NormalWeb"/>
        <w:rPr>
          <w:rFonts w:ascii="Noto Sans" w:eastAsia="Century Gothic" w:hAnsi="Noto Sans" w:cs="Noto Sans"/>
          <w:b/>
          <w:sz w:val="22"/>
          <w:szCs w:val="22"/>
        </w:rPr>
      </w:pPr>
      <w:r w:rsidRPr="0089139F">
        <w:rPr>
          <w:rFonts w:ascii="Noto Sans" w:eastAsia="Century Gothic" w:hAnsi="Noto Sans" w:cs="Noto Sans"/>
          <w:b/>
          <w:noProof/>
          <w:sz w:val="22"/>
          <w:szCs w:val="22"/>
          <w:lang w:val="es-MX"/>
        </w:rPr>
        <w:drawing>
          <wp:inline distT="0" distB="0" distL="0" distR="0" wp14:anchorId="0F5FC2AC" wp14:editId="67BBE832">
            <wp:extent cx="5936776" cy="2741175"/>
            <wp:effectExtent l="0" t="0" r="698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65424" cy="2754402"/>
                    </a:xfrm>
                    <a:prstGeom prst="rect">
                      <a:avLst/>
                    </a:prstGeom>
                    <a:noFill/>
                  </pic:spPr>
                </pic:pic>
              </a:graphicData>
            </a:graphic>
          </wp:inline>
        </w:drawing>
      </w:r>
    </w:p>
    <w:p w14:paraId="5C23FB40" w14:textId="77777777" w:rsidR="008D57F4" w:rsidRPr="0089139F" w:rsidRDefault="008D57F4" w:rsidP="008D57F4">
      <w:pPr>
        <w:pStyle w:val="NormalWeb"/>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 xml:space="preserve">Guanajuato, Veracruz, Ciudad de México, Nuevo León y Estado de México reportaron la mayor cantidad de casos de Enfermedad Febril Exantemática (EFE). Se confirmaron 44 casos autóctonos de Paludismo por </w:t>
      </w:r>
      <w:r w:rsidRPr="0089139F">
        <w:rPr>
          <w:rFonts w:ascii="Noto Sans" w:eastAsia="Century Gothic" w:hAnsi="Noto Sans" w:cs="Noto Sans"/>
          <w:i/>
          <w:sz w:val="22"/>
          <w:szCs w:val="22"/>
          <w:lang w:val="es-MX"/>
        </w:rPr>
        <w:t>P. vivax</w:t>
      </w:r>
      <w:r w:rsidRPr="0089139F">
        <w:rPr>
          <w:rFonts w:ascii="Noto Sans" w:eastAsia="Century Gothic" w:hAnsi="Noto Sans" w:cs="Noto Sans"/>
          <w:sz w:val="22"/>
          <w:szCs w:val="22"/>
          <w:lang w:val="es-MX"/>
        </w:rPr>
        <w:t xml:space="preserve"> en los estados de Chiapas, Oaxaca, Tabasco y Campeche. Y 272 casos importados por </w:t>
      </w:r>
      <w:r w:rsidRPr="0089139F">
        <w:rPr>
          <w:rFonts w:ascii="Noto Sans" w:eastAsia="Century Gothic" w:hAnsi="Noto Sans" w:cs="Noto Sans"/>
          <w:i/>
          <w:sz w:val="22"/>
          <w:szCs w:val="22"/>
          <w:lang w:val="es-MX"/>
        </w:rPr>
        <w:t>P. vivax</w:t>
      </w:r>
      <w:r w:rsidRPr="0089139F">
        <w:rPr>
          <w:rFonts w:ascii="Noto Sans" w:eastAsia="Century Gothic" w:hAnsi="Noto Sans" w:cs="Noto Sans"/>
          <w:sz w:val="22"/>
          <w:szCs w:val="22"/>
          <w:lang w:val="es-MX"/>
        </w:rPr>
        <w:t xml:space="preserve">, 22 por </w:t>
      </w:r>
      <w:r w:rsidRPr="0089139F">
        <w:rPr>
          <w:rFonts w:ascii="Noto Sans" w:eastAsia="Century Gothic" w:hAnsi="Noto Sans" w:cs="Noto Sans"/>
          <w:i/>
          <w:sz w:val="22"/>
          <w:szCs w:val="22"/>
          <w:lang w:val="es-MX"/>
        </w:rPr>
        <w:t>P. falciparum</w:t>
      </w:r>
      <w:r w:rsidRPr="0089139F">
        <w:rPr>
          <w:rFonts w:ascii="Noto Sans" w:eastAsia="Century Gothic" w:hAnsi="Noto Sans" w:cs="Noto Sans"/>
          <w:sz w:val="22"/>
          <w:szCs w:val="22"/>
          <w:lang w:val="es-MX"/>
        </w:rPr>
        <w:t xml:space="preserve"> y 5 casos por </w:t>
      </w:r>
      <w:r w:rsidRPr="0089139F">
        <w:rPr>
          <w:rFonts w:ascii="Noto Sans" w:eastAsia="Century Gothic" w:hAnsi="Noto Sans" w:cs="Noto Sans"/>
          <w:i/>
          <w:sz w:val="22"/>
          <w:szCs w:val="22"/>
          <w:lang w:val="es-MX"/>
        </w:rPr>
        <w:t>P. ovale</w:t>
      </w:r>
      <w:r w:rsidRPr="0089139F">
        <w:rPr>
          <w:rFonts w:ascii="Noto Sans" w:eastAsia="Century Gothic" w:hAnsi="Noto Sans" w:cs="Noto Sans"/>
          <w:sz w:val="22"/>
          <w:szCs w:val="22"/>
          <w:lang w:val="es-MX"/>
        </w:rPr>
        <w:t xml:space="preserve">. </w:t>
      </w:r>
    </w:p>
    <w:p w14:paraId="6B6A9B37" w14:textId="77777777" w:rsidR="008D57F4" w:rsidRPr="0089139F" w:rsidRDefault="008D57F4" w:rsidP="008D57F4">
      <w:pPr>
        <w:pStyle w:val="NormalWeb"/>
        <w:rPr>
          <w:rFonts w:ascii="Noto Sans" w:eastAsia="Century Gothic" w:hAnsi="Noto Sans" w:cs="Noto Sans"/>
          <w:b/>
          <w:sz w:val="22"/>
          <w:szCs w:val="22"/>
        </w:rPr>
      </w:pPr>
      <w:r w:rsidRPr="0089139F">
        <w:rPr>
          <w:rFonts w:ascii="Noto Sans" w:eastAsia="Century Gothic" w:hAnsi="Noto Sans" w:cs="Noto Sans"/>
          <w:b/>
          <w:sz w:val="22"/>
          <w:szCs w:val="22"/>
        </w:rPr>
        <w:t>Gráfica 5. Curva epidémica de casos de dengue, México 2023</w:t>
      </w:r>
    </w:p>
    <w:p w14:paraId="73D18C6E" w14:textId="77777777" w:rsidR="008D57F4" w:rsidRPr="0089139F" w:rsidRDefault="008D57F4" w:rsidP="008D57F4">
      <w:pPr>
        <w:pStyle w:val="NormalWeb"/>
        <w:rPr>
          <w:rFonts w:ascii="Noto Sans" w:eastAsia="Century Gothic" w:hAnsi="Noto Sans" w:cs="Noto Sans"/>
          <w:sz w:val="22"/>
          <w:szCs w:val="22"/>
          <w:lang w:val="es-MX"/>
        </w:rPr>
      </w:pPr>
    </w:p>
    <w:p w14:paraId="4905571D" w14:textId="77777777" w:rsidR="008D57F4" w:rsidRPr="0089139F" w:rsidRDefault="008D57F4" w:rsidP="0089139F">
      <w:pPr>
        <w:pStyle w:val="NormalWeb"/>
        <w:jc w:val="center"/>
        <w:rPr>
          <w:rFonts w:ascii="Noto Sans" w:eastAsia="Century Gothic" w:hAnsi="Noto Sans" w:cs="Noto Sans"/>
          <w:sz w:val="22"/>
          <w:szCs w:val="22"/>
          <w:lang w:val="es-MX"/>
        </w:rPr>
      </w:pPr>
      <w:r w:rsidRPr="0089139F">
        <w:rPr>
          <w:rFonts w:ascii="Noto Sans" w:eastAsia="Century Gothic" w:hAnsi="Noto Sans" w:cs="Noto Sans"/>
          <w:noProof/>
          <w:sz w:val="22"/>
          <w:szCs w:val="22"/>
          <w:lang w:val="es-MX"/>
        </w:rPr>
        <w:drawing>
          <wp:inline distT="0" distB="0" distL="0" distR="0" wp14:anchorId="2EC7AA58" wp14:editId="3CDEC630">
            <wp:extent cx="4993127" cy="2826214"/>
            <wp:effectExtent l="0" t="0" r="0" b="0"/>
            <wp:docPr id="1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rotWithShape="1">
                    <a:blip r:embed="rId13"/>
                    <a:srcRect r="5238"/>
                    <a:stretch/>
                  </pic:blipFill>
                  <pic:spPr>
                    <a:xfrm>
                      <a:off x="0" y="0"/>
                      <a:ext cx="5014699" cy="2838424"/>
                    </a:xfrm>
                    <a:prstGeom prst="rect">
                      <a:avLst/>
                    </a:prstGeom>
                  </pic:spPr>
                </pic:pic>
              </a:graphicData>
            </a:graphic>
          </wp:inline>
        </w:drawing>
      </w:r>
    </w:p>
    <w:p w14:paraId="6CEBD6D0" w14:textId="77777777" w:rsidR="008D57F4" w:rsidRPr="0089139F" w:rsidRDefault="008D57F4" w:rsidP="008D57F4">
      <w:pPr>
        <w:pStyle w:val="NormalWeb"/>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 xml:space="preserve">Durante 2023, se confirmaron 56,333 casos de dengue, 29,810 (52.9 %) casos de dengue no grave, 24,681 (43.8 %) dengue con signos de alarma y 1,842 (3.3 %) casos graves.   El serotipo DENV-3 predominó en 61.4 % en los casos confirmado, Identificado en 29 estados. </w:t>
      </w:r>
    </w:p>
    <w:p w14:paraId="3EC492C4" w14:textId="64B9E71A" w:rsidR="0031568C" w:rsidRPr="0089139F" w:rsidRDefault="0031568C" w:rsidP="00F2215C">
      <w:pPr>
        <w:pStyle w:val="NormalWeb"/>
        <w:shd w:val="clear" w:color="auto" w:fill="FFFFFF"/>
        <w:spacing w:line="276" w:lineRule="auto"/>
        <w:jc w:val="both"/>
        <w:rPr>
          <w:rFonts w:ascii="Noto Sans" w:eastAsia="Century Gothic" w:hAnsi="Noto Sans" w:cs="Noto Sans"/>
          <w:sz w:val="22"/>
          <w:szCs w:val="22"/>
          <w:lang w:val="es-MX"/>
        </w:rPr>
      </w:pPr>
    </w:p>
    <w:p w14:paraId="416A603A" w14:textId="688EADB4" w:rsidR="0031568C" w:rsidRPr="0089139F" w:rsidRDefault="0031568C" w:rsidP="0031568C">
      <w:pPr>
        <w:pStyle w:val="NormalWeb"/>
        <w:jc w:val="both"/>
        <w:rPr>
          <w:rFonts w:ascii="Noto Sans" w:eastAsia="Century Gothic" w:hAnsi="Noto Sans" w:cs="Noto Sans"/>
          <w:sz w:val="22"/>
          <w:szCs w:val="22"/>
          <w:lang w:val="es-MX"/>
        </w:rPr>
      </w:pPr>
      <w:r w:rsidRPr="0089139F">
        <w:rPr>
          <w:rFonts w:ascii="Noto Sans" w:eastAsia="Century Gothic" w:hAnsi="Noto Sans" w:cs="Noto Sans"/>
          <w:sz w:val="22"/>
          <w:szCs w:val="22"/>
          <w:lang w:val="es-MX"/>
        </w:rPr>
        <w:lastRenderedPageBreak/>
        <w:t>En cuanto a la vigilancia basada en eventos, la Unidad de Inteligencia Epidemiológica y Sanitaria (UIES) realiza el monitoreo permanente y continuo, emitiendo informes, avisos y evaluaciones de riesgo, por otro lado, se actualizó el Perfil Nacional de Riesgos. Se continuó con la capacitación del personal operativo de las UIES y los Servicios de Sanidad Internacional y se mantuvo la supervisión de la operación de los mismos, dando cumpliendo con la normatividad y fortaleciendo las actividades.</w:t>
      </w:r>
    </w:p>
    <w:p w14:paraId="4E5AECAC" w14:textId="77777777" w:rsidR="005771D4" w:rsidRPr="0089139F" w:rsidRDefault="005771D4" w:rsidP="000C178D">
      <w:pPr>
        <w:pStyle w:val="NormalWeb"/>
        <w:shd w:val="clear" w:color="auto" w:fill="FFFFFF"/>
        <w:spacing w:line="276" w:lineRule="auto"/>
        <w:jc w:val="both"/>
        <w:rPr>
          <w:rFonts w:ascii="Noto Sans" w:eastAsia="Century Gothic" w:hAnsi="Noto Sans" w:cs="Noto Sans"/>
          <w:sz w:val="22"/>
          <w:szCs w:val="22"/>
        </w:rPr>
      </w:pPr>
    </w:p>
    <w:p w14:paraId="4046F80F" w14:textId="77777777" w:rsidR="000434FD" w:rsidRPr="0089139F" w:rsidRDefault="000434FD" w:rsidP="000434FD">
      <w:pPr>
        <w:pStyle w:val="Ttulo2"/>
        <w:tabs>
          <w:tab w:val="left" w:pos="2835"/>
        </w:tabs>
        <w:spacing w:after="120" w:line="360" w:lineRule="auto"/>
        <w:rPr>
          <w:rFonts w:ascii="Noto Sans" w:eastAsia="Century Gothic" w:hAnsi="Noto Sans" w:cs="Noto Sans"/>
          <w:i w:val="0"/>
          <w:sz w:val="22"/>
          <w:szCs w:val="22"/>
        </w:rPr>
      </w:pPr>
      <w:r w:rsidRPr="0089139F">
        <w:rPr>
          <w:rFonts w:ascii="Noto Sans" w:eastAsia="Century Gothic" w:hAnsi="Noto Sans" w:cs="Noto Sans"/>
          <w:i w:val="0"/>
          <w:sz w:val="22"/>
          <w:szCs w:val="22"/>
        </w:rPr>
        <w:t xml:space="preserve">4.2 Identificación, definición y descripción del problema o necesidad </w:t>
      </w:r>
    </w:p>
    <w:p w14:paraId="7DA73628" w14:textId="77777777" w:rsidR="000434FD" w:rsidRPr="0089139F" w:rsidRDefault="000434FD" w:rsidP="000434FD">
      <w:pPr>
        <w:pStyle w:val="Ttulo3"/>
        <w:spacing w:after="120" w:line="360" w:lineRule="auto"/>
        <w:rPr>
          <w:rFonts w:ascii="Noto Sans" w:eastAsia="Century Gothic" w:hAnsi="Noto Sans" w:cs="Noto Sans"/>
          <w:sz w:val="22"/>
          <w:szCs w:val="22"/>
        </w:rPr>
      </w:pPr>
      <w:r w:rsidRPr="0089139F">
        <w:rPr>
          <w:rFonts w:ascii="Noto Sans" w:eastAsia="Century Gothic" w:hAnsi="Noto Sans" w:cs="Noto Sans"/>
          <w:sz w:val="22"/>
          <w:szCs w:val="22"/>
        </w:rPr>
        <w:t xml:space="preserve">4.2.1 Definición del problema </w:t>
      </w:r>
    </w:p>
    <w:p w14:paraId="12D58D27" w14:textId="77777777" w:rsidR="000434FD" w:rsidRPr="0089139F" w:rsidRDefault="000434FD" w:rsidP="000434FD">
      <w:pPr>
        <w:pStyle w:val="Ttulo3"/>
        <w:spacing w:after="120" w:line="276" w:lineRule="auto"/>
        <w:jc w:val="both"/>
        <w:rPr>
          <w:rFonts w:ascii="Noto Sans" w:eastAsia="Century Gothic" w:hAnsi="Noto Sans" w:cs="Noto Sans"/>
          <w:b w:val="0"/>
          <w:bCs w:val="0"/>
          <w:sz w:val="22"/>
          <w:szCs w:val="22"/>
        </w:rPr>
      </w:pPr>
      <w:r w:rsidRPr="0089139F">
        <w:rPr>
          <w:rFonts w:ascii="Noto Sans" w:eastAsia="Century Gothic" w:hAnsi="Noto Sans" w:cs="Noto Sans"/>
          <w:b w:val="0"/>
          <w:bCs w:val="0"/>
          <w:sz w:val="22"/>
          <w:szCs w:val="22"/>
        </w:rPr>
        <w:t>En la agenda 2030 para el Desarrollo Sostenible, dentro de sus 17 Objetivos de Desarrollo Sostenible (ODS), se incluye en el objetivo 3. “Salud y Bienestar: Garantizar una vida sana y promover el bienestar para todos en todas las edades. Poniendo fin a epidemias como el paludismo y la tuberculosis, ambas patologías contenidas en este programa presupuestario”.</w:t>
      </w:r>
    </w:p>
    <w:p w14:paraId="2594C4F2" w14:textId="77777777" w:rsidR="000434FD" w:rsidRPr="0089139F" w:rsidRDefault="000434FD" w:rsidP="000434FD">
      <w:pPr>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En México, persisten como problemas de salud pública enfermedades transmisibles sujetas a vigilancia epidemiológica, que requieren el abordaje de vigilancia epidemiológica y de laboratorio (DGE-InDRE) con manejo programático (CENAPRECE), este programa presupuestario se encarga de dar atención junto con otros programas a cumplir con objetivos internacionales, nacionales y el más importante responder a la población con salud.</w:t>
      </w:r>
    </w:p>
    <w:p w14:paraId="57543F18" w14:textId="77777777" w:rsidR="000434FD" w:rsidRPr="0089139F" w:rsidRDefault="000434FD" w:rsidP="000434FD">
      <w:pPr>
        <w:spacing w:line="276" w:lineRule="auto"/>
        <w:jc w:val="both"/>
        <w:rPr>
          <w:rFonts w:ascii="Noto Sans" w:eastAsia="Century Gothic" w:hAnsi="Noto Sans" w:cs="Noto Sans"/>
          <w:sz w:val="22"/>
          <w:szCs w:val="22"/>
        </w:rPr>
      </w:pPr>
    </w:p>
    <w:p w14:paraId="56056AFC" w14:textId="5F18850C" w:rsidR="000434FD" w:rsidRPr="0089139F" w:rsidRDefault="000434FD" w:rsidP="000434FD">
      <w:pPr>
        <w:spacing w:line="276" w:lineRule="auto"/>
        <w:jc w:val="both"/>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Problema: Los Servicios de Salud en las Entidades Federa</w:t>
      </w:r>
      <w:r w:rsidR="0031568C" w:rsidRPr="0089139F">
        <w:rPr>
          <w:rFonts w:ascii="Noto Sans" w:eastAsia="Century Gothic" w:hAnsi="Noto Sans" w:cs="Noto Sans"/>
          <w:sz w:val="22"/>
          <w:szCs w:val="22"/>
          <w:lang w:val="es-MX"/>
        </w:rPr>
        <w:t>tivas</w:t>
      </w:r>
      <w:r w:rsidRPr="0089139F">
        <w:rPr>
          <w:rFonts w:ascii="Noto Sans" w:eastAsia="Century Gothic" w:hAnsi="Noto Sans" w:cs="Noto Sans"/>
          <w:sz w:val="22"/>
          <w:szCs w:val="22"/>
          <w:lang w:val="es-MX"/>
        </w:rPr>
        <w:t xml:space="preserve"> se enfrentan al incremento de morbilidad y mortalidad de enfermedades de vigilancia epidemiológica.</w:t>
      </w:r>
    </w:p>
    <w:p w14:paraId="28E63BA3" w14:textId="77777777" w:rsidR="000434FD" w:rsidRPr="0089139F" w:rsidRDefault="000434FD" w:rsidP="000434FD">
      <w:pPr>
        <w:spacing w:line="276" w:lineRule="auto"/>
        <w:jc w:val="both"/>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 xml:space="preserve">   </w:t>
      </w:r>
    </w:p>
    <w:p w14:paraId="1D798C8A" w14:textId="77777777" w:rsidR="0020644B" w:rsidRPr="0089139F" w:rsidRDefault="0020644B" w:rsidP="0020644B">
      <w:pPr>
        <w:keepNext/>
        <w:spacing w:before="240" w:after="120" w:line="360" w:lineRule="auto"/>
        <w:outlineLvl w:val="2"/>
        <w:rPr>
          <w:rFonts w:ascii="Noto Sans" w:eastAsia="Century Gothic" w:hAnsi="Noto Sans" w:cs="Noto Sans"/>
          <w:b/>
          <w:bCs/>
          <w:sz w:val="22"/>
          <w:szCs w:val="22"/>
        </w:rPr>
      </w:pPr>
      <w:bookmarkStart w:id="4" w:name="_heading=h.3znysh7" w:colFirst="0" w:colLast="0"/>
      <w:bookmarkStart w:id="5" w:name="_heading=h.2et92p0" w:colFirst="0" w:colLast="0"/>
      <w:bookmarkStart w:id="6" w:name="_heading=h.tyjcwt" w:colFirst="0" w:colLast="0"/>
      <w:bookmarkStart w:id="7" w:name="_heading=h.3dy6vkm" w:colFirst="0" w:colLast="0"/>
      <w:bookmarkStart w:id="8" w:name="_heading=h.1t3h5sf" w:colFirst="0" w:colLast="0"/>
      <w:bookmarkStart w:id="9" w:name="_heading=h.4d34og8" w:colFirst="0" w:colLast="0"/>
      <w:bookmarkStart w:id="10" w:name="_heading=h.17dp8vu" w:colFirst="0" w:colLast="0"/>
      <w:bookmarkStart w:id="11" w:name="_heading=h.3rdcrjn" w:colFirst="0" w:colLast="0"/>
      <w:bookmarkStart w:id="12" w:name="_heading=h.26in1rg" w:colFirst="0" w:colLast="0"/>
      <w:bookmarkStart w:id="13" w:name="_heading=h.35nkun2" w:colFirst="0" w:colLast="0"/>
      <w:bookmarkStart w:id="14" w:name="_heading=h.2orhvn4f6vvr" w:colFirst="0" w:colLast="0"/>
      <w:bookmarkStart w:id="15" w:name="_heading=h.l45zghjshqmh" w:colFirst="0" w:colLast="0"/>
      <w:bookmarkStart w:id="16" w:name="_heading=h.44sinio" w:colFirst="0" w:colLast="0"/>
      <w:bookmarkStart w:id="17" w:name="_heading=h.2jxsxqh" w:colFirst="0" w:colLast="0"/>
      <w:bookmarkStart w:id="18" w:name="_heading=h.z337ya" w:colFirst="0" w:colLast="0"/>
      <w:bookmarkStart w:id="19" w:name="_heading=h.3j2qqm3" w:colFirst="0" w:colLast="0"/>
      <w:bookmarkStart w:id="20" w:name="_heading=h.1y810tw" w:colFirst="0" w:colLast="0"/>
      <w:bookmarkStart w:id="21" w:name="_heading=h.4i7ojhp" w:colFirst="0" w:colLast="0"/>
      <w:bookmarkStart w:id="22" w:name="_heading=h.2xcytpi" w:colFirst="0" w:colLast="0"/>
      <w:bookmarkStart w:id="23" w:name="_heading=h.1ci93xb" w:colFirst="0" w:colLast="0"/>
      <w:bookmarkStart w:id="24" w:name="_heading=h.2bn6wsx" w:colFirst="0" w:colLast="0"/>
      <w:bookmarkStart w:id="25" w:name="_heading=h.qsh70q" w:colFirst="0" w:colLast="0"/>
      <w:bookmarkStart w:id="26" w:name="_heading=h.3as4poj" w:colFirst="0" w:colLast="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89139F">
        <w:rPr>
          <w:rFonts w:ascii="Noto Sans" w:eastAsia="Century Gothic" w:hAnsi="Noto Sans" w:cs="Noto Sans"/>
          <w:b/>
          <w:bCs/>
          <w:sz w:val="22"/>
          <w:szCs w:val="22"/>
        </w:rPr>
        <w:t>4.2.2 Estado actual del problema</w:t>
      </w:r>
    </w:p>
    <w:p w14:paraId="5B1155BC" w14:textId="77777777" w:rsidR="0020644B" w:rsidRPr="0089139F" w:rsidRDefault="0020644B" w:rsidP="0020644B">
      <w:pPr>
        <w:spacing w:before="240" w:after="120"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La transiciones epidemiológica, demográfica, el cambio climático y la globalización dan por resultado que enfermedades controladas,  o en vías de eliminación presenten introducción en nuestro país (enfermedades emergentes) o en aquellas ya presentes, un incremento en el número de casos (enfermedades reemergentes), propician que las cadenas de transmisión perpetúen, por ello es fundamental fortalecer el Sistema de Vigilancia Epidemiológica nacional, a través de, entre otros, el fortalecimiento del Pp U009.</w:t>
      </w:r>
    </w:p>
    <w:p w14:paraId="4312F1B3" w14:textId="77777777" w:rsidR="0020644B" w:rsidRPr="0089139F" w:rsidRDefault="0020644B" w:rsidP="0020644B">
      <w:pPr>
        <w:spacing w:before="240" w:after="240"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 xml:space="preserve">Al mismo tiempo, hay aspectos políticos, sociales y económicos que determinan la salud y la equidad en la salud de la población que han estado tradicionalmente fuera del ámbito de acción de la salud pública y que demandan respuestas innovadoras. Los cambios socioeconómicos y </w:t>
      </w:r>
      <w:r w:rsidRPr="0089139F">
        <w:rPr>
          <w:rFonts w:ascii="Noto Sans" w:eastAsia="Century Gothic" w:hAnsi="Noto Sans" w:cs="Noto Sans"/>
          <w:sz w:val="22"/>
          <w:szCs w:val="22"/>
        </w:rPr>
        <w:lastRenderedPageBreak/>
        <w:t>políticos que han ocurrido desde el desarrollo de las Funciones Esenciales de Salud Pública en 2020, llevaron a la aparición de nuevos problemas de salud pública de alta incidencia, mortalidad y costos asociados, que demandan cada vez más que el sistema de salud esté mejor preparado para responder a los retos planteados por los problemas de salud.</w:t>
      </w:r>
    </w:p>
    <w:p w14:paraId="48CF4927" w14:textId="77777777" w:rsidR="0020644B" w:rsidRPr="0089139F" w:rsidRDefault="0020644B" w:rsidP="0020644B">
      <w:pPr>
        <w:spacing w:before="240" w:after="240" w:line="276" w:lineRule="auto"/>
        <w:jc w:val="both"/>
        <w:rPr>
          <w:rFonts w:ascii="Noto Sans" w:eastAsia="Century Gothic" w:hAnsi="Noto Sans" w:cs="Noto Sans"/>
          <w:bCs/>
          <w:sz w:val="22"/>
          <w:szCs w:val="22"/>
        </w:rPr>
      </w:pPr>
      <w:r w:rsidRPr="0089139F">
        <w:rPr>
          <w:rFonts w:ascii="Noto Sans" w:eastAsia="Century Gothic" w:hAnsi="Noto Sans" w:cs="Noto Sans"/>
          <w:bCs/>
          <w:sz w:val="22"/>
          <w:szCs w:val="22"/>
        </w:rPr>
        <w:t>En aras de lograr mejoras sostenibles, se promueve un enfoque integrado en los ámbitos de preparación y respuesta frente a emergencias epidemiológicas, reducción del riesgo de desastres, la vigilancia y diagnóstico de enfermedades, el manejo de brotes, y el fortalecimiento del sistema de salud como un todo, para las acciones de prevención, promoción de la salud, control y eliminación de enfermedades prioritarias al panorama epidemiológico mexicano.</w:t>
      </w:r>
    </w:p>
    <w:p w14:paraId="533630F0" w14:textId="77777777" w:rsidR="0020644B" w:rsidRPr="0089139F" w:rsidRDefault="0020644B" w:rsidP="0020644B">
      <w:pPr>
        <w:autoSpaceDE w:val="0"/>
        <w:autoSpaceDN w:val="0"/>
        <w:adjustRightInd w:val="0"/>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En México, a través del Boletín Epidemiológico del Sistema Nacional de Vigilancia Epidemiológica (SINAVE), que data de 1880, se difunde la información con respecto a las actualizaciones en el comportamiento de las enfermedades sujetas a Vigilancia, este ha evolucionado al mismo ritmo que el sistema de vigilancia epidemiológica de México y es el medio oficial de difusión de la morbilidad del SINAVE, representando una de las principales actividades sustantivas de difusión de la Dirección General de Epidemiología.</w:t>
      </w:r>
    </w:p>
    <w:p w14:paraId="610043DF" w14:textId="7EAA0065" w:rsidR="0020644B" w:rsidRPr="0089139F" w:rsidRDefault="0020644B" w:rsidP="0020644B">
      <w:pPr>
        <w:autoSpaceDE w:val="0"/>
        <w:autoSpaceDN w:val="0"/>
        <w:adjustRightInd w:val="0"/>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br/>
        <w:t>                                               </w:t>
      </w:r>
      <w:r w:rsidRPr="0089139F">
        <w:rPr>
          <w:rFonts w:ascii="Noto Sans" w:eastAsia="Century Gothic" w:hAnsi="Noto Sans" w:cs="Noto Sans"/>
          <w:sz w:val="22"/>
          <w:szCs w:val="22"/>
        </w:rPr>
        <w:br/>
        <w:t>El documento responde al Reglamento Interior de la Secretaría de Salud, el cual establece en el Capítulo X, Artículo 32 Bis, inciso XIII que la Dirección General de Epidemiología debe “Difundir, en forma oportuna los resultados e información generada por las acciones de vigilancia epidemiológica”. </w:t>
      </w:r>
      <w:r w:rsidRPr="0089139F">
        <w:rPr>
          <w:rFonts w:ascii="Noto Sans" w:eastAsia="Century Gothic" w:hAnsi="Noto Sans" w:cs="Noto Sans"/>
          <w:sz w:val="22"/>
          <w:szCs w:val="22"/>
        </w:rPr>
        <w:br/>
        <w:t>                                               </w:t>
      </w:r>
      <w:r w:rsidRPr="0089139F">
        <w:rPr>
          <w:rFonts w:ascii="Noto Sans" w:eastAsia="Century Gothic" w:hAnsi="Noto Sans" w:cs="Noto Sans"/>
          <w:sz w:val="22"/>
          <w:szCs w:val="22"/>
        </w:rPr>
        <w:br/>
        <w:t>Este boletín cumple con la función de difundir los casos nuevos de los padecimientos sujetos a vigilancia cada semana por sexo, grupo de edad y entidad federativa, por lo que es considerado, el medio de difusión oficial del SINAVE. Se publica cada semana y difunde la información de 142 enfermedades sujetas a Vigilancia Epidemiológica en 68 páginas (https://www.gob.mx/salud/acciones-y-programas/direccion-general-de-epidemiologia-boletin-epidemiologico).</w:t>
      </w:r>
    </w:p>
    <w:p w14:paraId="6238B64C" w14:textId="77777777" w:rsidR="0020644B" w:rsidRPr="0089139F" w:rsidRDefault="0020644B" w:rsidP="0020644B">
      <w:pPr>
        <w:spacing w:before="240" w:after="240" w:line="276" w:lineRule="auto"/>
        <w:jc w:val="both"/>
        <w:rPr>
          <w:rFonts w:ascii="Noto Sans" w:eastAsia="Century Gothic" w:hAnsi="Noto Sans" w:cs="Noto Sans"/>
          <w:sz w:val="22"/>
          <w:szCs w:val="22"/>
        </w:rPr>
      </w:pPr>
    </w:p>
    <w:p w14:paraId="34B67E37" w14:textId="77777777" w:rsidR="0020644B" w:rsidRPr="0089139F" w:rsidRDefault="0020644B" w:rsidP="0020644B">
      <w:pPr>
        <w:keepNext/>
        <w:spacing w:before="240" w:after="120" w:line="360" w:lineRule="auto"/>
        <w:outlineLvl w:val="2"/>
        <w:rPr>
          <w:rFonts w:ascii="Noto Sans" w:eastAsia="Times New Roman" w:hAnsi="Noto Sans" w:cs="Noto Sans"/>
          <w:b/>
          <w:bCs/>
          <w:sz w:val="26"/>
          <w:szCs w:val="26"/>
        </w:rPr>
      </w:pPr>
      <w:r w:rsidRPr="0089139F">
        <w:rPr>
          <w:rFonts w:ascii="Noto Sans" w:eastAsia="Century Gothic" w:hAnsi="Noto Sans" w:cs="Noto Sans"/>
          <w:b/>
          <w:bCs/>
          <w:sz w:val="22"/>
          <w:szCs w:val="22"/>
        </w:rPr>
        <w:t xml:space="preserve">4.2.3 Evolución del problema </w:t>
      </w:r>
    </w:p>
    <w:p w14:paraId="5814E071" w14:textId="77777777" w:rsidR="0020644B" w:rsidRPr="0089139F" w:rsidRDefault="0020644B" w:rsidP="0020644B">
      <w:pPr>
        <w:spacing w:line="276" w:lineRule="auto"/>
        <w:jc w:val="both"/>
        <w:rPr>
          <w:rFonts w:ascii="Noto Sans" w:eastAsia="Century Gothic" w:hAnsi="Noto Sans" w:cs="Noto Sans"/>
          <w:sz w:val="22"/>
          <w:szCs w:val="22"/>
        </w:rPr>
      </w:pPr>
      <w:r w:rsidRPr="0089139F">
        <w:rPr>
          <w:rFonts w:ascii="Noto Sans" w:hAnsi="Noto Sans" w:cs="Noto Sans"/>
        </w:rPr>
        <w:t>A t</w:t>
      </w:r>
      <w:r w:rsidRPr="0089139F">
        <w:rPr>
          <w:rFonts w:ascii="Noto Sans" w:eastAsia="Century Gothic" w:hAnsi="Noto Sans" w:cs="Noto Sans"/>
          <w:sz w:val="22"/>
          <w:szCs w:val="22"/>
        </w:rPr>
        <w:t xml:space="preserve">ravés del documento, se ha evidenciado que las transiciones epidemiológicas, demográficas y la globalización permiten que enfermedades emergentes y reemergentes convivan en un mismo escenario y en algunos casos como sindemia. </w:t>
      </w:r>
    </w:p>
    <w:p w14:paraId="33F32E70" w14:textId="77777777" w:rsidR="0020644B" w:rsidRPr="0089139F" w:rsidRDefault="0020644B" w:rsidP="0020644B">
      <w:pPr>
        <w:spacing w:line="276" w:lineRule="auto"/>
        <w:jc w:val="both"/>
        <w:rPr>
          <w:rFonts w:ascii="Noto Sans" w:eastAsia="Century Gothic" w:hAnsi="Noto Sans" w:cs="Noto Sans"/>
          <w:sz w:val="22"/>
          <w:szCs w:val="22"/>
        </w:rPr>
      </w:pPr>
    </w:p>
    <w:p w14:paraId="13493AEF" w14:textId="77777777" w:rsidR="0020644B" w:rsidRPr="0089139F" w:rsidRDefault="0020644B" w:rsidP="0020644B">
      <w:pPr>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Apenas el siglo pasado se contemplaba que se tendría control o eliminación de enfermedades transmisibles, lo anterior ha virado esta proyección al persistir con enfermedades transmisibles dentro de las primeras causas de morbilidad y mortalidad en México, por ello es importante contar con presupuestos para atender en especial aquellas emergentes en donde la información se obtiene a través de la vigilancia epidemiológica y de laboratorio para su abordaje.</w:t>
      </w:r>
    </w:p>
    <w:p w14:paraId="7B6697CC" w14:textId="77777777" w:rsidR="0020644B" w:rsidRPr="0089139F" w:rsidRDefault="0020644B" w:rsidP="0020644B">
      <w:pPr>
        <w:autoSpaceDE w:val="0"/>
        <w:autoSpaceDN w:val="0"/>
        <w:adjustRightInd w:val="0"/>
        <w:rPr>
          <w:rFonts w:ascii="Noto Sans" w:hAnsi="Noto Sans" w:cs="Noto Sans"/>
          <w:color w:val="000000"/>
          <w:lang w:val="es-MX"/>
        </w:rPr>
      </w:pPr>
    </w:p>
    <w:p w14:paraId="29DA570F" w14:textId="77777777" w:rsidR="0020644B" w:rsidRPr="0089139F" w:rsidRDefault="0020644B" w:rsidP="0020644B">
      <w:pPr>
        <w:autoSpaceDE w:val="0"/>
        <w:autoSpaceDN w:val="0"/>
        <w:adjustRightInd w:val="0"/>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 xml:space="preserve">El Pp U009 ha tenido disminución en su presupuesto a lo largo del tiempo desde su creación, siendo evidente con la emergencia en salud (COVID-19), la necesidad del incremento en el mismo. Este es el más claro ejemplo, que la Vigilancia Epidemiológica es un tema que debe de estar en los tomadores de decisiones, priorizando contar con un presupuesto que esté basado en las necesidades reales de la población mexicana y que se debe apostar a incrementar para aumentar las capacidades técnicas de los servicios de salud, para la búsqueda, contención, mitigación, evaluación de daños, de estas enfermedades emergentes, reemergentes que afectan al ser humano. </w:t>
      </w:r>
    </w:p>
    <w:p w14:paraId="384AAE4B" w14:textId="77777777" w:rsidR="0020644B" w:rsidRPr="0089139F" w:rsidRDefault="0020644B" w:rsidP="0020644B">
      <w:pPr>
        <w:autoSpaceDE w:val="0"/>
        <w:autoSpaceDN w:val="0"/>
        <w:adjustRightInd w:val="0"/>
        <w:spacing w:line="276" w:lineRule="auto"/>
        <w:jc w:val="both"/>
        <w:rPr>
          <w:rFonts w:ascii="Noto Sans" w:eastAsia="Century Gothic" w:hAnsi="Noto Sans" w:cs="Noto Sans"/>
          <w:sz w:val="22"/>
          <w:szCs w:val="22"/>
        </w:rPr>
      </w:pPr>
    </w:p>
    <w:p w14:paraId="240D56E7" w14:textId="77777777" w:rsidR="0020644B" w:rsidRPr="0089139F" w:rsidRDefault="0020644B" w:rsidP="0020644B">
      <w:pPr>
        <w:keepNext/>
        <w:spacing w:before="240" w:after="120" w:line="360" w:lineRule="auto"/>
        <w:outlineLvl w:val="2"/>
        <w:rPr>
          <w:rFonts w:ascii="Noto Sans" w:eastAsia="Century Gothic" w:hAnsi="Noto Sans" w:cs="Noto Sans"/>
          <w:b/>
          <w:bCs/>
          <w:sz w:val="22"/>
          <w:szCs w:val="22"/>
        </w:rPr>
      </w:pPr>
      <w:r w:rsidRPr="0089139F">
        <w:rPr>
          <w:rFonts w:ascii="Noto Sans" w:eastAsia="Century Gothic" w:hAnsi="Noto Sans" w:cs="Noto Sans"/>
          <w:b/>
          <w:bCs/>
          <w:sz w:val="22"/>
          <w:szCs w:val="22"/>
        </w:rPr>
        <w:t>4.2.4 Experiencias de atención</w:t>
      </w:r>
    </w:p>
    <w:p w14:paraId="2ECBA5B9" w14:textId="77777777" w:rsidR="0020644B" w:rsidRPr="0089139F" w:rsidRDefault="0020644B" w:rsidP="0020644B">
      <w:pPr>
        <w:rPr>
          <w:rFonts w:ascii="Noto Sans" w:hAnsi="Noto Sans" w:cs="Noto Sans"/>
        </w:rPr>
      </w:pPr>
    </w:p>
    <w:p w14:paraId="55A180D3" w14:textId="77777777" w:rsidR="0020644B" w:rsidRPr="0089139F" w:rsidRDefault="0020644B" w:rsidP="0020644B">
      <w:pPr>
        <w:pBdr>
          <w:top w:val="nil"/>
          <w:left w:val="nil"/>
          <w:bottom w:val="nil"/>
          <w:right w:val="nil"/>
          <w:between w:val="nil"/>
        </w:pBdr>
        <w:spacing w:line="276" w:lineRule="auto"/>
        <w:jc w:val="both"/>
        <w:rPr>
          <w:rFonts w:ascii="Noto Sans" w:eastAsia="Century Gothic" w:hAnsi="Noto Sans" w:cs="Noto Sans"/>
          <w:color w:val="000000"/>
          <w:sz w:val="22"/>
          <w:szCs w:val="22"/>
        </w:rPr>
      </w:pPr>
      <w:r w:rsidRPr="0089139F">
        <w:rPr>
          <w:rFonts w:ascii="Noto Sans" w:eastAsia="Century Gothic" w:hAnsi="Noto Sans" w:cs="Noto Sans"/>
          <w:color w:val="000000"/>
          <w:sz w:val="22"/>
          <w:szCs w:val="22"/>
        </w:rPr>
        <w:t>El Pp U009 “Vigilancia Epidemiológica”, es el mecanismo por el cual dos unidades administrativas (la Dirección General de Epidemiología y el Centro Nacional de Programas Preventivos y Control de Enfermedades) reciben el presupuesto para el reforzamiento de las acciones prioritarias de salud pública en los estados.</w:t>
      </w:r>
    </w:p>
    <w:p w14:paraId="2FD7F798" w14:textId="77777777" w:rsidR="0020644B" w:rsidRPr="0089139F" w:rsidRDefault="0020644B" w:rsidP="0020644B">
      <w:pPr>
        <w:pBdr>
          <w:top w:val="nil"/>
          <w:left w:val="nil"/>
          <w:bottom w:val="nil"/>
          <w:right w:val="nil"/>
          <w:between w:val="nil"/>
        </w:pBdr>
        <w:spacing w:line="276" w:lineRule="auto"/>
        <w:jc w:val="both"/>
        <w:rPr>
          <w:rFonts w:ascii="Noto Sans" w:eastAsia="Century Gothic" w:hAnsi="Noto Sans" w:cs="Noto Sans"/>
          <w:color w:val="000000"/>
          <w:sz w:val="22"/>
          <w:szCs w:val="22"/>
        </w:rPr>
      </w:pPr>
    </w:p>
    <w:p w14:paraId="0B424D00" w14:textId="77777777" w:rsidR="0020644B" w:rsidRPr="0089139F" w:rsidRDefault="0020644B" w:rsidP="0020644B">
      <w:pPr>
        <w:pBdr>
          <w:top w:val="nil"/>
          <w:left w:val="nil"/>
          <w:bottom w:val="nil"/>
          <w:right w:val="nil"/>
          <w:between w:val="nil"/>
        </w:pBdr>
        <w:spacing w:line="276" w:lineRule="auto"/>
        <w:jc w:val="both"/>
        <w:rPr>
          <w:rFonts w:ascii="Noto Sans" w:eastAsia="Century Gothic" w:hAnsi="Noto Sans" w:cs="Noto Sans"/>
          <w:color w:val="000000"/>
          <w:sz w:val="22"/>
          <w:szCs w:val="22"/>
        </w:rPr>
      </w:pPr>
      <w:r w:rsidRPr="0089139F">
        <w:rPr>
          <w:rFonts w:ascii="Noto Sans" w:eastAsia="Century Gothic" w:hAnsi="Noto Sans" w:cs="Noto Sans"/>
          <w:color w:val="000000"/>
          <w:sz w:val="22"/>
          <w:szCs w:val="22"/>
        </w:rPr>
        <w:t xml:space="preserve">La secuencia de acciones en vigilancia epidemiológica parte de la sensibilidad del sistema de vigilancia para la identificación de las enfermedades, sus causas y sus determinantes; esta información se complementa mediante el diagnóstico de laboratorio en salud pública que otorga especificidad respecto al tipo de enfermedades que enfrenta la población mexicana; y finalmente, a partir de esta información, se establecen acciones de prevención y control ante problemas prioritarios de salud pública en materia de vigilancia epidemiológica. </w:t>
      </w:r>
    </w:p>
    <w:p w14:paraId="0990B71F" w14:textId="77777777" w:rsidR="0020644B" w:rsidRPr="0089139F" w:rsidRDefault="0020644B" w:rsidP="0020644B">
      <w:pPr>
        <w:pBdr>
          <w:top w:val="nil"/>
          <w:left w:val="nil"/>
          <w:bottom w:val="nil"/>
          <w:right w:val="nil"/>
          <w:between w:val="nil"/>
        </w:pBdr>
        <w:spacing w:line="360" w:lineRule="auto"/>
        <w:jc w:val="both"/>
        <w:rPr>
          <w:rFonts w:ascii="Noto Sans" w:eastAsia="Century Gothic" w:hAnsi="Noto Sans" w:cs="Noto Sans"/>
          <w:color w:val="000000"/>
          <w:sz w:val="22"/>
          <w:szCs w:val="22"/>
        </w:rPr>
      </w:pPr>
    </w:p>
    <w:p w14:paraId="0FCDC3A2" w14:textId="77777777" w:rsidR="0020644B" w:rsidRPr="0089139F" w:rsidRDefault="0020644B" w:rsidP="0020644B">
      <w:pPr>
        <w:pBdr>
          <w:top w:val="nil"/>
          <w:left w:val="nil"/>
          <w:bottom w:val="nil"/>
          <w:right w:val="nil"/>
          <w:between w:val="nil"/>
        </w:pBdr>
        <w:spacing w:line="276" w:lineRule="auto"/>
        <w:jc w:val="both"/>
        <w:rPr>
          <w:rFonts w:ascii="Noto Sans" w:eastAsia="Century Gothic" w:hAnsi="Noto Sans" w:cs="Noto Sans"/>
          <w:color w:val="000000"/>
          <w:sz w:val="22"/>
          <w:szCs w:val="22"/>
        </w:rPr>
      </w:pPr>
      <w:r w:rsidRPr="0089139F">
        <w:rPr>
          <w:rFonts w:ascii="Noto Sans" w:eastAsia="Century Gothic" w:hAnsi="Noto Sans" w:cs="Noto Sans"/>
          <w:color w:val="000000"/>
          <w:sz w:val="22"/>
          <w:szCs w:val="22"/>
        </w:rPr>
        <w:t xml:space="preserve">El </w:t>
      </w:r>
      <w:r w:rsidRPr="0089139F">
        <w:rPr>
          <w:rFonts w:ascii="Noto Sans" w:eastAsia="Century Gothic" w:hAnsi="Noto Sans" w:cs="Noto Sans"/>
          <w:sz w:val="22"/>
          <w:szCs w:val="22"/>
        </w:rPr>
        <w:t xml:space="preserve">Convenio Específico en materia de Transferencia de Insumos y Ministración de Recursos Presupuestarios Federales (SaNAS) </w:t>
      </w:r>
      <w:r w:rsidRPr="0089139F">
        <w:rPr>
          <w:rFonts w:ascii="Noto Sans" w:eastAsia="Century Gothic" w:hAnsi="Noto Sans" w:cs="Noto Sans"/>
          <w:color w:val="000000"/>
          <w:sz w:val="22"/>
          <w:szCs w:val="22"/>
        </w:rPr>
        <w:t xml:space="preserve">es el instrumento que rige el seguimiento del programa ya que, a través de éste, la Subsecretaría de Prevención y Promoción de la Salud transfiere recursos (subsidios) a los treinta y dos Servicios Estatales de Salud (SESA), a partir de una previa planeación programática y presupuestal, considerando Estrategias, Líneas de Acción y Actividades. </w:t>
      </w:r>
    </w:p>
    <w:p w14:paraId="63D6C723" w14:textId="77777777" w:rsidR="0020644B" w:rsidRPr="0089139F" w:rsidRDefault="0020644B" w:rsidP="0020644B">
      <w:pPr>
        <w:pBdr>
          <w:top w:val="nil"/>
          <w:left w:val="nil"/>
          <w:bottom w:val="nil"/>
          <w:right w:val="nil"/>
          <w:between w:val="nil"/>
        </w:pBdr>
        <w:spacing w:line="276" w:lineRule="auto"/>
        <w:jc w:val="both"/>
        <w:rPr>
          <w:rFonts w:ascii="Noto Sans" w:eastAsia="Century Gothic" w:hAnsi="Noto Sans" w:cs="Noto Sans"/>
          <w:color w:val="000000"/>
          <w:sz w:val="22"/>
          <w:szCs w:val="22"/>
        </w:rPr>
      </w:pPr>
    </w:p>
    <w:p w14:paraId="41A266C7" w14:textId="77777777" w:rsidR="0020644B" w:rsidRPr="0089139F" w:rsidRDefault="0020644B" w:rsidP="0020644B">
      <w:pPr>
        <w:pBdr>
          <w:top w:val="nil"/>
          <w:left w:val="nil"/>
          <w:bottom w:val="nil"/>
          <w:right w:val="nil"/>
          <w:between w:val="nil"/>
        </w:pBdr>
        <w:spacing w:line="276" w:lineRule="auto"/>
        <w:jc w:val="both"/>
        <w:rPr>
          <w:rFonts w:ascii="Noto Sans" w:eastAsia="Century Gothic" w:hAnsi="Noto Sans" w:cs="Noto Sans"/>
          <w:color w:val="000000"/>
          <w:sz w:val="22"/>
          <w:szCs w:val="22"/>
        </w:rPr>
      </w:pPr>
      <w:r w:rsidRPr="0089139F">
        <w:rPr>
          <w:rFonts w:ascii="Noto Sans" w:eastAsia="Century Gothic" w:hAnsi="Noto Sans" w:cs="Noto Sans"/>
          <w:color w:val="000000"/>
          <w:sz w:val="22"/>
          <w:szCs w:val="22"/>
        </w:rPr>
        <w:t>El trabajo conjunto y la comunicación efectiva entre las unidades administrativas responsables del programa (CENAPRECE y DGE), con los beneficiarios del mismo (Servicios Estatales de Salud y los Laboratorios Estatales de Salud Pública de las treinta y dos entidades federativas) se materializa en la elaboración conjunta de los diagnósticos situacionales, considerando el perfil epidemiológico o de necesidades de salud a la población y los Planes Anuales de Trabajo (PAT) que incluyen las estrategias, líneas de acción, actividades, indicadores y metas a cumplir durante el año fiscal.</w:t>
      </w:r>
    </w:p>
    <w:p w14:paraId="0E4DAAB3" w14:textId="77777777" w:rsidR="0020644B" w:rsidRPr="0089139F" w:rsidRDefault="0020644B" w:rsidP="0020644B">
      <w:pPr>
        <w:pBdr>
          <w:top w:val="nil"/>
          <w:left w:val="nil"/>
          <w:bottom w:val="nil"/>
          <w:right w:val="nil"/>
          <w:between w:val="nil"/>
        </w:pBdr>
        <w:spacing w:line="276" w:lineRule="auto"/>
        <w:jc w:val="both"/>
        <w:rPr>
          <w:rFonts w:ascii="Noto Sans" w:eastAsia="Century Gothic" w:hAnsi="Noto Sans" w:cs="Noto Sans"/>
          <w:color w:val="000000"/>
          <w:sz w:val="22"/>
          <w:szCs w:val="22"/>
        </w:rPr>
      </w:pPr>
    </w:p>
    <w:p w14:paraId="549A56AA" w14:textId="77777777" w:rsidR="0020644B" w:rsidRPr="0089139F" w:rsidRDefault="0020644B" w:rsidP="0020644B">
      <w:pPr>
        <w:pBdr>
          <w:top w:val="nil"/>
          <w:left w:val="nil"/>
          <w:bottom w:val="nil"/>
          <w:right w:val="nil"/>
          <w:between w:val="nil"/>
        </w:pBdr>
        <w:spacing w:line="276" w:lineRule="auto"/>
        <w:jc w:val="both"/>
        <w:rPr>
          <w:rFonts w:ascii="Noto Sans" w:eastAsia="Century Gothic" w:hAnsi="Noto Sans" w:cs="Noto Sans"/>
          <w:color w:val="000000"/>
          <w:sz w:val="22"/>
          <w:szCs w:val="22"/>
        </w:rPr>
      </w:pPr>
      <w:r w:rsidRPr="0089139F">
        <w:rPr>
          <w:rFonts w:ascii="Noto Sans" w:eastAsia="Century Gothic" w:hAnsi="Noto Sans" w:cs="Noto Sans"/>
          <w:color w:val="000000"/>
          <w:sz w:val="22"/>
          <w:szCs w:val="22"/>
        </w:rPr>
        <w:t xml:space="preserve">Como ya se comentó anteriormente el presupuesto que se entrega del Ramo 12 a través de los Convenios citados las entidades federativas, no refleja la totalidad del gasto de operación del Sistema Nacional de Vigilancia Epidemiológica (SINAVE) y de los Programas Preventivos en los estados, resulta ser de particular importancia ya que la planeación programática en este presupuesto va dirigida a: </w:t>
      </w:r>
    </w:p>
    <w:p w14:paraId="3FFB9618" w14:textId="77777777" w:rsidR="0020644B" w:rsidRPr="0089139F" w:rsidRDefault="0020644B" w:rsidP="0020644B">
      <w:pPr>
        <w:pBdr>
          <w:top w:val="nil"/>
          <w:left w:val="nil"/>
          <w:bottom w:val="nil"/>
          <w:right w:val="nil"/>
          <w:between w:val="nil"/>
        </w:pBdr>
        <w:spacing w:line="360" w:lineRule="auto"/>
        <w:jc w:val="both"/>
        <w:rPr>
          <w:rFonts w:ascii="Noto Sans" w:eastAsia="Century Gothic" w:hAnsi="Noto Sans" w:cs="Noto Sans"/>
          <w:color w:val="000000"/>
          <w:sz w:val="22"/>
          <w:szCs w:val="22"/>
        </w:rPr>
      </w:pPr>
    </w:p>
    <w:p w14:paraId="31B9E47F" w14:textId="77777777" w:rsidR="0020644B" w:rsidRPr="0089139F" w:rsidRDefault="0020644B" w:rsidP="0020644B">
      <w:pPr>
        <w:numPr>
          <w:ilvl w:val="0"/>
          <w:numId w:val="2"/>
        </w:numPr>
        <w:pBdr>
          <w:top w:val="nil"/>
          <w:left w:val="nil"/>
          <w:bottom w:val="nil"/>
          <w:right w:val="nil"/>
          <w:between w:val="nil"/>
        </w:pBdr>
        <w:spacing w:line="276" w:lineRule="auto"/>
        <w:jc w:val="both"/>
        <w:rPr>
          <w:rFonts w:ascii="Noto Sans" w:eastAsia="Century Gothic" w:hAnsi="Noto Sans" w:cs="Noto Sans"/>
          <w:color w:val="000000"/>
          <w:sz w:val="22"/>
          <w:szCs w:val="22"/>
        </w:rPr>
      </w:pPr>
      <w:r w:rsidRPr="0089139F">
        <w:rPr>
          <w:rFonts w:ascii="Noto Sans" w:eastAsia="Century Gothic" w:hAnsi="Noto Sans" w:cs="Noto Sans"/>
          <w:color w:val="000000"/>
          <w:sz w:val="22"/>
          <w:szCs w:val="22"/>
        </w:rPr>
        <w:t xml:space="preserve">Generación de información de calidad para lo cual se requieren acciones de reforzamiento mediante fortalecimiento de infraestructura, capacitación, supervisión, coordinación y difusión. </w:t>
      </w:r>
    </w:p>
    <w:p w14:paraId="437FA471" w14:textId="77777777" w:rsidR="0020644B" w:rsidRPr="0089139F" w:rsidRDefault="0020644B" w:rsidP="0020644B">
      <w:pPr>
        <w:numPr>
          <w:ilvl w:val="0"/>
          <w:numId w:val="2"/>
        </w:numPr>
        <w:pBdr>
          <w:top w:val="nil"/>
          <w:left w:val="nil"/>
          <w:bottom w:val="nil"/>
          <w:right w:val="nil"/>
          <w:between w:val="nil"/>
        </w:pBdr>
        <w:spacing w:line="276" w:lineRule="auto"/>
        <w:jc w:val="both"/>
        <w:rPr>
          <w:rFonts w:ascii="Noto Sans" w:eastAsia="Century Gothic" w:hAnsi="Noto Sans" w:cs="Noto Sans"/>
          <w:color w:val="000000"/>
          <w:sz w:val="22"/>
          <w:szCs w:val="22"/>
        </w:rPr>
      </w:pPr>
      <w:r w:rsidRPr="0089139F">
        <w:rPr>
          <w:rFonts w:ascii="Noto Sans" w:eastAsia="Century Gothic" w:hAnsi="Noto Sans" w:cs="Noto Sans"/>
          <w:color w:val="000000"/>
          <w:sz w:val="22"/>
          <w:szCs w:val="22"/>
        </w:rPr>
        <w:t xml:space="preserve">Certeza diagnóstica mediante acciones de certificación, capacitación, el desarrollo de nuevas competencias diagnósticas y ampliación del marco analítico. </w:t>
      </w:r>
    </w:p>
    <w:p w14:paraId="12D467C2" w14:textId="77777777" w:rsidR="0020644B" w:rsidRPr="0089139F" w:rsidRDefault="0020644B" w:rsidP="0020644B">
      <w:pPr>
        <w:numPr>
          <w:ilvl w:val="0"/>
          <w:numId w:val="2"/>
        </w:numPr>
        <w:pBdr>
          <w:top w:val="nil"/>
          <w:left w:val="nil"/>
          <w:bottom w:val="nil"/>
          <w:right w:val="nil"/>
          <w:between w:val="nil"/>
        </w:pBdr>
        <w:spacing w:line="276" w:lineRule="auto"/>
        <w:jc w:val="both"/>
        <w:rPr>
          <w:rFonts w:ascii="Noto Sans" w:eastAsia="Century Gothic" w:hAnsi="Noto Sans" w:cs="Noto Sans"/>
          <w:color w:val="000000"/>
          <w:sz w:val="22"/>
          <w:szCs w:val="22"/>
        </w:rPr>
      </w:pPr>
      <w:r w:rsidRPr="0089139F">
        <w:rPr>
          <w:rFonts w:ascii="Noto Sans" w:eastAsia="Century Gothic" w:hAnsi="Noto Sans" w:cs="Noto Sans"/>
          <w:color w:val="000000"/>
          <w:sz w:val="22"/>
          <w:szCs w:val="22"/>
        </w:rPr>
        <w:t xml:space="preserve">Coordinación para el estudio, seguimiento, y contención de enfermedades de impacto internacional en el marco del Reglamento Sanitario Internacional. </w:t>
      </w:r>
    </w:p>
    <w:p w14:paraId="799D35BF" w14:textId="77777777" w:rsidR="0020644B" w:rsidRPr="0089139F" w:rsidRDefault="0020644B" w:rsidP="0020644B">
      <w:pPr>
        <w:numPr>
          <w:ilvl w:val="0"/>
          <w:numId w:val="2"/>
        </w:numPr>
        <w:pBdr>
          <w:top w:val="nil"/>
          <w:left w:val="nil"/>
          <w:bottom w:val="nil"/>
          <w:right w:val="nil"/>
          <w:between w:val="nil"/>
        </w:pBdr>
        <w:spacing w:line="276" w:lineRule="auto"/>
        <w:jc w:val="both"/>
        <w:rPr>
          <w:rFonts w:ascii="Noto Sans" w:eastAsia="Century Gothic" w:hAnsi="Noto Sans" w:cs="Noto Sans"/>
          <w:color w:val="000000"/>
          <w:sz w:val="22"/>
          <w:szCs w:val="22"/>
        </w:rPr>
      </w:pPr>
      <w:r w:rsidRPr="0089139F">
        <w:rPr>
          <w:rFonts w:ascii="Noto Sans" w:eastAsia="Century Gothic" w:hAnsi="Noto Sans" w:cs="Noto Sans"/>
          <w:color w:val="000000"/>
          <w:sz w:val="22"/>
          <w:szCs w:val="22"/>
        </w:rPr>
        <w:t xml:space="preserve">Identificación oportuna para la identificación de potenciales riesgos a la salud pública a partir de la vigilancia epidemiológica para la pronta contención de enfermedades dentro del territorio nacional, y la potencial introducción de aquellas presentes en otras partes del mundo como paludismo, sarampión, rubéola o poliomielitis. </w:t>
      </w:r>
    </w:p>
    <w:p w14:paraId="1F23CA0A" w14:textId="77777777" w:rsidR="0020644B" w:rsidRPr="0089139F" w:rsidRDefault="0020644B" w:rsidP="0020644B">
      <w:pPr>
        <w:numPr>
          <w:ilvl w:val="0"/>
          <w:numId w:val="2"/>
        </w:numPr>
        <w:pBdr>
          <w:top w:val="nil"/>
          <w:left w:val="nil"/>
          <w:bottom w:val="nil"/>
          <w:right w:val="nil"/>
          <w:between w:val="nil"/>
        </w:pBdr>
        <w:spacing w:line="276" w:lineRule="auto"/>
        <w:jc w:val="both"/>
        <w:rPr>
          <w:rFonts w:ascii="Noto Sans" w:eastAsia="Century Gothic" w:hAnsi="Noto Sans" w:cs="Noto Sans"/>
          <w:color w:val="000000"/>
          <w:sz w:val="22"/>
          <w:szCs w:val="22"/>
        </w:rPr>
      </w:pPr>
      <w:r w:rsidRPr="0089139F">
        <w:rPr>
          <w:rFonts w:ascii="Noto Sans" w:eastAsia="Century Gothic" w:hAnsi="Noto Sans" w:cs="Noto Sans"/>
          <w:color w:val="000000"/>
          <w:sz w:val="22"/>
          <w:szCs w:val="22"/>
        </w:rPr>
        <w:t xml:space="preserve">Atención prioritaria a enfermedades en proceso de eliminación. </w:t>
      </w:r>
    </w:p>
    <w:p w14:paraId="3B0A999B" w14:textId="77777777" w:rsidR="0020644B" w:rsidRPr="0089139F" w:rsidRDefault="0020644B" w:rsidP="0020644B">
      <w:pPr>
        <w:numPr>
          <w:ilvl w:val="0"/>
          <w:numId w:val="2"/>
        </w:numPr>
        <w:pBdr>
          <w:top w:val="nil"/>
          <w:left w:val="nil"/>
          <w:bottom w:val="nil"/>
          <w:right w:val="nil"/>
          <w:between w:val="nil"/>
        </w:pBdr>
        <w:spacing w:line="276" w:lineRule="auto"/>
        <w:jc w:val="both"/>
        <w:rPr>
          <w:rFonts w:ascii="Noto Sans" w:eastAsia="Century Gothic" w:hAnsi="Noto Sans" w:cs="Noto Sans"/>
          <w:color w:val="000000"/>
          <w:sz w:val="22"/>
          <w:szCs w:val="22"/>
        </w:rPr>
      </w:pPr>
      <w:r w:rsidRPr="0089139F">
        <w:rPr>
          <w:rFonts w:ascii="Noto Sans" w:eastAsia="Century Gothic" w:hAnsi="Noto Sans" w:cs="Noto Sans"/>
          <w:color w:val="000000"/>
          <w:sz w:val="22"/>
          <w:szCs w:val="22"/>
        </w:rPr>
        <w:t xml:space="preserve">Reforzamiento para el control de enfermedades reemergentes como tuberculosis. </w:t>
      </w:r>
    </w:p>
    <w:p w14:paraId="20B39D16" w14:textId="77777777" w:rsidR="0020644B" w:rsidRPr="0089139F" w:rsidRDefault="0020644B" w:rsidP="0020644B">
      <w:pPr>
        <w:numPr>
          <w:ilvl w:val="0"/>
          <w:numId w:val="2"/>
        </w:numPr>
        <w:pBdr>
          <w:top w:val="nil"/>
          <w:left w:val="nil"/>
          <w:bottom w:val="nil"/>
          <w:right w:val="nil"/>
          <w:between w:val="nil"/>
        </w:pBdr>
        <w:spacing w:line="276" w:lineRule="auto"/>
        <w:jc w:val="both"/>
        <w:rPr>
          <w:rFonts w:ascii="Noto Sans" w:eastAsia="Century Gothic" w:hAnsi="Noto Sans" w:cs="Noto Sans"/>
          <w:color w:val="000000"/>
          <w:sz w:val="22"/>
          <w:szCs w:val="22"/>
        </w:rPr>
      </w:pPr>
      <w:r w:rsidRPr="0089139F">
        <w:rPr>
          <w:rFonts w:ascii="Noto Sans" w:eastAsia="Century Gothic" w:hAnsi="Noto Sans" w:cs="Noto Sans"/>
          <w:color w:val="000000"/>
          <w:sz w:val="22"/>
          <w:szCs w:val="22"/>
        </w:rPr>
        <w:t>Fondos para enfrentar contingencias ante urgencias epidemiológicas y desastres; y brotes epidémicos en enfermedades de alto impacto y emergentes.</w:t>
      </w:r>
    </w:p>
    <w:p w14:paraId="259E1D4D" w14:textId="77777777" w:rsidR="0020644B" w:rsidRPr="0089139F" w:rsidRDefault="0020644B" w:rsidP="0020644B">
      <w:pPr>
        <w:pBdr>
          <w:top w:val="nil"/>
          <w:left w:val="nil"/>
          <w:bottom w:val="nil"/>
          <w:right w:val="nil"/>
          <w:between w:val="nil"/>
        </w:pBdr>
        <w:spacing w:line="360" w:lineRule="auto"/>
        <w:jc w:val="both"/>
        <w:rPr>
          <w:rFonts w:ascii="Noto Sans" w:eastAsia="Century Gothic" w:hAnsi="Noto Sans" w:cs="Noto Sans"/>
          <w:color w:val="000000"/>
          <w:sz w:val="22"/>
          <w:szCs w:val="22"/>
        </w:rPr>
      </w:pPr>
    </w:p>
    <w:p w14:paraId="3DD6D150" w14:textId="77777777" w:rsidR="0020644B" w:rsidRPr="0089139F" w:rsidRDefault="0020644B" w:rsidP="0020644B">
      <w:pPr>
        <w:pBdr>
          <w:top w:val="nil"/>
          <w:left w:val="nil"/>
          <w:bottom w:val="nil"/>
          <w:right w:val="nil"/>
          <w:between w:val="nil"/>
        </w:pBdr>
        <w:spacing w:line="276" w:lineRule="auto"/>
        <w:jc w:val="both"/>
        <w:rPr>
          <w:rFonts w:ascii="Noto Sans" w:eastAsia="Century Gothic" w:hAnsi="Noto Sans" w:cs="Noto Sans"/>
          <w:color w:val="000000"/>
          <w:sz w:val="22"/>
          <w:szCs w:val="22"/>
        </w:rPr>
      </w:pPr>
      <w:r w:rsidRPr="0089139F">
        <w:rPr>
          <w:rFonts w:ascii="Noto Sans" w:eastAsia="Century Gothic" w:hAnsi="Noto Sans" w:cs="Noto Sans"/>
          <w:color w:val="000000"/>
          <w:sz w:val="22"/>
          <w:szCs w:val="22"/>
        </w:rPr>
        <w:t>Asimismo, es muy importante mencionar que el Pp U009, a través de sus Programas Específicos de Acción cuenta con una “Matriz de Corresponsabilidad” por cada uno de ellos, donde se identifican a los actores clave de las instituciones que conforman el Sistema Nacional de Salud, así como con los diversos órdenes de gobierno y a nivel intersectorial.</w:t>
      </w:r>
    </w:p>
    <w:p w14:paraId="7528C8B2" w14:textId="77777777" w:rsidR="0020644B" w:rsidRPr="0089139F" w:rsidRDefault="0020644B" w:rsidP="0020644B">
      <w:pPr>
        <w:pBdr>
          <w:top w:val="nil"/>
          <w:left w:val="nil"/>
          <w:bottom w:val="nil"/>
          <w:right w:val="nil"/>
          <w:between w:val="nil"/>
        </w:pBdr>
        <w:spacing w:line="360" w:lineRule="auto"/>
        <w:jc w:val="both"/>
        <w:rPr>
          <w:rFonts w:ascii="Noto Sans" w:eastAsia="Century Gothic" w:hAnsi="Noto Sans" w:cs="Noto Sans"/>
          <w:color w:val="000000"/>
          <w:sz w:val="22"/>
          <w:szCs w:val="22"/>
        </w:rPr>
      </w:pPr>
    </w:p>
    <w:p w14:paraId="38A83E50" w14:textId="77777777" w:rsidR="0020644B" w:rsidRPr="0089139F" w:rsidRDefault="0020644B" w:rsidP="0020644B">
      <w:pPr>
        <w:keepNext/>
        <w:spacing w:before="240" w:after="120" w:line="360" w:lineRule="auto"/>
        <w:outlineLvl w:val="2"/>
        <w:rPr>
          <w:rFonts w:ascii="Noto Sans" w:eastAsia="Century Gothic" w:hAnsi="Noto Sans" w:cs="Noto Sans"/>
          <w:b/>
          <w:bCs/>
          <w:sz w:val="22"/>
          <w:szCs w:val="22"/>
        </w:rPr>
      </w:pPr>
      <w:r w:rsidRPr="0089139F">
        <w:rPr>
          <w:rFonts w:ascii="Noto Sans" w:eastAsia="Century Gothic" w:hAnsi="Noto Sans" w:cs="Noto Sans"/>
          <w:b/>
          <w:bCs/>
          <w:sz w:val="22"/>
          <w:szCs w:val="22"/>
        </w:rPr>
        <w:t>4.2.5 Árbol de problemas</w:t>
      </w:r>
    </w:p>
    <w:p w14:paraId="7CD0B5E8" w14:textId="717AB9D0" w:rsidR="003A11A3" w:rsidRPr="0089139F" w:rsidRDefault="0020644B" w:rsidP="003A11A3">
      <w:pPr>
        <w:spacing w:before="240" w:after="120" w:line="276" w:lineRule="auto"/>
        <w:jc w:val="both"/>
        <w:rPr>
          <w:rFonts w:ascii="Noto Sans" w:hAnsi="Noto Sans" w:cs="Noto Sans"/>
        </w:rPr>
      </w:pPr>
      <w:r w:rsidRPr="0089139F">
        <w:rPr>
          <w:rFonts w:ascii="Noto Sans" w:eastAsia="Century Gothic" w:hAnsi="Noto Sans" w:cs="Noto Sans"/>
          <w:sz w:val="22"/>
          <w:szCs w:val="22"/>
        </w:rPr>
        <w:t>El Pp U009 cuenta con un árbol de problemas vigente, el cual requiere una actualización debido a lo mencionado previamente (evolución estructural de las unidades administrativas y de la Vigilancia epidemiológica, por lo que ante estos cambios se ha modificado al siguiente:</w:t>
      </w:r>
    </w:p>
    <w:p w14:paraId="178453D5" w14:textId="1712CCD0" w:rsidR="0020644B" w:rsidRPr="0089139F" w:rsidRDefault="003A11A3" w:rsidP="003A11A3">
      <w:pPr>
        <w:spacing w:before="240" w:after="120" w:line="276" w:lineRule="auto"/>
        <w:jc w:val="both"/>
        <w:rPr>
          <w:rFonts w:ascii="Noto Sans" w:eastAsia="Century Gothic" w:hAnsi="Noto Sans" w:cs="Noto Sans"/>
          <w:sz w:val="22"/>
          <w:szCs w:val="22"/>
        </w:rPr>
      </w:pPr>
      <w:r w:rsidRPr="0089139F">
        <w:rPr>
          <w:rFonts w:ascii="Noto Sans" w:hAnsi="Noto Sans" w:cs="Noto Sans"/>
          <w:noProof/>
          <w:lang w:val="es-MX"/>
        </w:rPr>
        <w:drawing>
          <wp:inline distT="0" distB="0" distL="0" distR="0" wp14:anchorId="09FBCC4A" wp14:editId="150FC31E">
            <wp:extent cx="6076950" cy="5086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76950" cy="5086350"/>
                    </a:xfrm>
                    <a:prstGeom prst="rect">
                      <a:avLst/>
                    </a:prstGeom>
                    <a:noFill/>
                    <a:ln>
                      <a:noFill/>
                    </a:ln>
                  </pic:spPr>
                </pic:pic>
              </a:graphicData>
            </a:graphic>
          </wp:inline>
        </w:drawing>
      </w:r>
      <w:r w:rsidR="0020644B" w:rsidRPr="0089139F">
        <w:rPr>
          <w:rFonts w:ascii="Noto Sans" w:hAnsi="Noto Sans" w:cs="Noto Sans"/>
        </w:rPr>
        <w:br w:type="page"/>
      </w:r>
    </w:p>
    <w:p w14:paraId="4A90DAAF" w14:textId="77777777" w:rsidR="0020644B" w:rsidRPr="0089139F" w:rsidRDefault="0020644B" w:rsidP="0020644B">
      <w:pPr>
        <w:keepNext/>
        <w:spacing w:before="240" w:after="120" w:line="360" w:lineRule="auto"/>
        <w:outlineLvl w:val="2"/>
        <w:rPr>
          <w:rFonts w:ascii="Noto Sans" w:eastAsia="Century Gothic" w:hAnsi="Noto Sans" w:cs="Noto Sans"/>
          <w:b/>
          <w:bCs/>
          <w:sz w:val="22"/>
          <w:szCs w:val="22"/>
        </w:rPr>
      </w:pPr>
      <w:r w:rsidRPr="0089139F">
        <w:rPr>
          <w:rFonts w:ascii="Noto Sans" w:eastAsia="Century Gothic" w:hAnsi="Noto Sans" w:cs="Noto Sans"/>
          <w:b/>
          <w:bCs/>
          <w:sz w:val="22"/>
          <w:szCs w:val="22"/>
        </w:rPr>
        <w:t>4.3. OBJETIVOS</w:t>
      </w:r>
    </w:p>
    <w:p w14:paraId="32225047" w14:textId="77777777" w:rsidR="0020644B" w:rsidRPr="0089139F" w:rsidRDefault="0020644B" w:rsidP="0020644B">
      <w:pPr>
        <w:keepNext/>
        <w:spacing w:before="240" w:after="120" w:line="360" w:lineRule="auto"/>
        <w:outlineLvl w:val="2"/>
        <w:rPr>
          <w:rFonts w:ascii="Noto Sans" w:eastAsia="Century Gothic" w:hAnsi="Noto Sans" w:cs="Noto Sans"/>
          <w:b/>
          <w:bCs/>
          <w:sz w:val="22"/>
          <w:szCs w:val="22"/>
        </w:rPr>
      </w:pPr>
      <w:r w:rsidRPr="0089139F">
        <w:rPr>
          <w:rFonts w:ascii="Noto Sans" w:eastAsia="Century Gothic" w:hAnsi="Noto Sans" w:cs="Noto Sans"/>
          <w:b/>
          <w:bCs/>
          <w:sz w:val="22"/>
          <w:szCs w:val="22"/>
        </w:rPr>
        <w:t>4.3.1 Árbol de objetivos</w:t>
      </w:r>
    </w:p>
    <w:p w14:paraId="696E926D" w14:textId="77777777" w:rsidR="0020644B" w:rsidRPr="0089139F" w:rsidRDefault="0020644B" w:rsidP="0020644B">
      <w:pPr>
        <w:spacing w:before="240" w:after="120"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El Pp U009 cuenta con un árbol de objetivos, pero al ajustar el árbol de problemas de acuerdo a lo citado modificamos el árbol de objetivos de la siguiente manera:</w:t>
      </w:r>
    </w:p>
    <w:p w14:paraId="51F4493F" w14:textId="35BD30E8" w:rsidR="0020644B" w:rsidRPr="0089139F" w:rsidRDefault="0020644B" w:rsidP="0020644B">
      <w:pPr>
        <w:spacing w:before="240" w:after="120" w:line="360" w:lineRule="auto"/>
        <w:jc w:val="both"/>
        <w:rPr>
          <w:rFonts w:ascii="Noto Sans" w:eastAsia="Century Gothic" w:hAnsi="Noto Sans" w:cs="Noto Sans"/>
          <w:sz w:val="22"/>
          <w:szCs w:val="22"/>
        </w:rPr>
      </w:pPr>
      <w:r w:rsidRPr="0089139F">
        <w:rPr>
          <w:rFonts w:ascii="Noto Sans" w:eastAsia="Century Gothic" w:hAnsi="Noto Sans" w:cs="Noto Sans"/>
          <w:sz w:val="22"/>
          <w:szCs w:val="22"/>
        </w:rPr>
        <w:t xml:space="preserve"> </w:t>
      </w:r>
      <w:r w:rsidR="003A11A3" w:rsidRPr="0089139F">
        <w:rPr>
          <w:rFonts w:ascii="Noto Sans" w:hAnsi="Noto Sans" w:cs="Noto Sans"/>
          <w:noProof/>
          <w:lang w:val="es-MX"/>
        </w:rPr>
        <w:drawing>
          <wp:inline distT="0" distB="0" distL="0" distR="0" wp14:anchorId="53C40FD2" wp14:editId="5F459287">
            <wp:extent cx="6076950" cy="51435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076950" cy="5143500"/>
                    </a:xfrm>
                    <a:prstGeom prst="rect">
                      <a:avLst/>
                    </a:prstGeom>
                    <a:noFill/>
                    <a:ln>
                      <a:noFill/>
                    </a:ln>
                  </pic:spPr>
                </pic:pic>
              </a:graphicData>
            </a:graphic>
          </wp:inline>
        </w:drawing>
      </w:r>
    </w:p>
    <w:p w14:paraId="23AAD413" w14:textId="77777777" w:rsidR="0020644B" w:rsidRPr="0089139F" w:rsidRDefault="0020644B" w:rsidP="0020644B">
      <w:pPr>
        <w:rPr>
          <w:rFonts w:ascii="Noto Sans" w:hAnsi="Noto Sans" w:cs="Noto Sans"/>
          <w:noProof/>
          <w:lang w:val="es-MX"/>
        </w:rPr>
      </w:pPr>
    </w:p>
    <w:p w14:paraId="6B969CBD" w14:textId="77777777" w:rsidR="0020644B" w:rsidRPr="0089139F" w:rsidRDefault="0020644B" w:rsidP="0020644B">
      <w:pPr>
        <w:keepNext/>
        <w:spacing w:before="240" w:after="120" w:line="360" w:lineRule="auto"/>
        <w:outlineLvl w:val="2"/>
        <w:rPr>
          <w:rFonts w:ascii="Noto Sans" w:eastAsia="Century Gothic" w:hAnsi="Noto Sans" w:cs="Noto Sans"/>
          <w:b/>
          <w:bCs/>
          <w:sz w:val="22"/>
          <w:szCs w:val="22"/>
        </w:rPr>
      </w:pPr>
      <w:r w:rsidRPr="0089139F">
        <w:rPr>
          <w:rFonts w:ascii="Noto Sans" w:eastAsia="Century Gothic" w:hAnsi="Noto Sans" w:cs="Noto Sans"/>
          <w:b/>
          <w:bCs/>
          <w:sz w:val="22"/>
          <w:szCs w:val="22"/>
        </w:rPr>
        <w:t xml:space="preserve">4.3.2. Determinación de los objetivos del programa: </w:t>
      </w:r>
    </w:p>
    <w:p w14:paraId="0C07F593" w14:textId="77777777" w:rsidR="0020644B" w:rsidRPr="0089139F" w:rsidRDefault="0020644B" w:rsidP="0020644B">
      <w:pPr>
        <w:keepNext/>
        <w:spacing w:before="240" w:after="120" w:line="360" w:lineRule="auto"/>
        <w:outlineLvl w:val="2"/>
        <w:rPr>
          <w:rFonts w:ascii="Noto Sans" w:eastAsia="Century Gothic" w:hAnsi="Noto Sans" w:cs="Noto Sans"/>
          <w:b/>
          <w:bCs/>
          <w:sz w:val="22"/>
          <w:szCs w:val="22"/>
        </w:rPr>
      </w:pPr>
      <w:r w:rsidRPr="0089139F">
        <w:rPr>
          <w:rFonts w:ascii="Noto Sans" w:eastAsia="Century Gothic" w:hAnsi="Noto Sans" w:cs="Noto Sans"/>
          <w:b/>
          <w:bCs/>
          <w:sz w:val="22"/>
          <w:szCs w:val="22"/>
        </w:rPr>
        <w:t>Objetivo general.</w:t>
      </w:r>
    </w:p>
    <w:p w14:paraId="2864C612" w14:textId="77777777" w:rsidR="0020644B" w:rsidRPr="0089139F" w:rsidRDefault="0020644B" w:rsidP="0020644B">
      <w:pPr>
        <w:autoSpaceDE w:val="0"/>
        <w:autoSpaceDN w:val="0"/>
        <w:adjustRightInd w:val="0"/>
        <w:spacing w:line="276" w:lineRule="auto"/>
        <w:jc w:val="both"/>
        <w:rPr>
          <w:rFonts w:ascii="Noto Sans" w:eastAsia="Century Gothic" w:hAnsi="Noto Sans" w:cs="Noto Sans"/>
          <w:sz w:val="22"/>
          <w:szCs w:val="22"/>
        </w:rPr>
      </w:pPr>
      <w:r w:rsidRPr="0089139F">
        <w:rPr>
          <w:rFonts w:ascii="Noto Sans" w:eastAsia="Century Gothic" w:hAnsi="Noto Sans" w:cs="Noto Sans"/>
          <w:sz w:val="22"/>
          <w:szCs w:val="22"/>
        </w:rPr>
        <w:t>El objetivo del Programa consiste en consolidar las acciones de la vigilancia epidemiológica y vigilancia por laboratorio a través de la protección, promoción de la salud y prevención de enfermedades mediante la identificación temprana y control de riesgos, así como el ingreso a tratamiento oportuno y específico de casos nuevos de algunas enfermedades infecciosas y transmisibles, sujetas a vigilancia epidemiológica, cuyos programas preventivos  están bajo responsabilidad del CENAPRECE y la DGE a cargo de la vigilancia epidemiológica, así como verificar la operación y observancia de la normatividad oficial mediante la supervisión; garantizando la funcionalidad de los procedimientos estandarizados  de Vigilancia Epidemiológica y los lineamientos de la vigilancia por laboratorio, así como en algunos de los Programas de Acción Específicos responsabilidad de CENAPRECE y por último la publicación de Información Epidemiológica conforme a la normatividad vigente,  en apoyo como subsidios a las poblaciones de las 32 entidades federativas.</w:t>
      </w:r>
    </w:p>
    <w:p w14:paraId="3D0F66D3" w14:textId="77777777" w:rsidR="0020644B" w:rsidRPr="0089139F" w:rsidRDefault="0020644B" w:rsidP="0020644B">
      <w:pPr>
        <w:pBdr>
          <w:top w:val="nil"/>
          <w:left w:val="nil"/>
          <w:bottom w:val="nil"/>
          <w:right w:val="nil"/>
          <w:between w:val="nil"/>
        </w:pBdr>
        <w:spacing w:line="360" w:lineRule="auto"/>
        <w:jc w:val="both"/>
        <w:rPr>
          <w:rFonts w:ascii="Noto Sans" w:eastAsia="Century Gothic" w:hAnsi="Noto Sans" w:cs="Noto Sans"/>
          <w:color w:val="000000"/>
          <w:sz w:val="22"/>
          <w:szCs w:val="22"/>
        </w:rPr>
      </w:pPr>
    </w:p>
    <w:p w14:paraId="12E86EAB" w14:textId="77777777" w:rsidR="0020644B" w:rsidRPr="0089139F" w:rsidRDefault="0020644B" w:rsidP="0020644B">
      <w:pPr>
        <w:spacing w:line="360" w:lineRule="auto"/>
        <w:ind w:left="720"/>
        <w:jc w:val="both"/>
        <w:rPr>
          <w:rFonts w:ascii="Noto Sans" w:eastAsia="Century Gothic" w:hAnsi="Noto Sans" w:cs="Noto Sans"/>
          <w:color w:val="000000"/>
          <w:sz w:val="22"/>
          <w:szCs w:val="22"/>
        </w:rPr>
      </w:pPr>
    </w:p>
    <w:p w14:paraId="79EA4A91" w14:textId="77777777" w:rsidR="0020644B" w:rsidRPr="0089139F" w:rsidRDefault="0020644B" w:rsidP="0020644B">
      <w:pPr>
        <w:keepNext/>
        <w:spacing w:before="240" w:after="120" w:line="360" w:lineRule="auto"/>
        <w:jc w:val="both"/>
        <w:outlineLvl w:val="2"/>
        <w:rPr>
          <w:rFonts w:ascii="Noto Sans" w:eastAsia="Century Gothic" w:hAnsi="Noto Sans" w:cs="Noto Sans"/>
          <w:b/>
          <w:bCs/>
          <w:sz w:val="22"/>
          <w:szCs w:val="22"/>
        </w:rPr>
      </w:pPr>
      <w:r w:rsidRPr="0089139F">
        <w:rPr>
          <w:rFonts w:ascii="Noto Sans" w:eastAsia="Century Gothic" w:hAnsi="Noto Sans" w:cs="Noto Sans"/>
          <w:b/>
          <w:bCs/>
          <w:sz w:val="22"/>
          <w:szCs w:val="22"/>
        </w:rPr>
        <w:t xml:space="preserve">4.3.3 Aportación del programa a los objetivos del Plan Nacional de Desarrollo y de la Institución </w:t>
      </w:r>
    </w:p>
    <w:p w14:paraId="2C3BA293" w14:textId="77777777" w:rsidR="0020644B" w:rsidRPr="0089139F" w:rsidRDefault="0020644B" w:rsidP="0020644B">
      <w:pPr>
        <w:keepNext/>
        <w:spacing w:before="240" w:after="240" w:line="276" w:lineRule="auto"/>
        <w:jc w:val="both"/>
        <w:outlineLvl w:val="1"/>
        <w:rPr>
          <w:rFonts w:ascii="Noto Sans" w:eastAsia="Century Gothic" w:hAnsi="Noto Sans" w:cs="Noto Sans"/>
          <w:bCs/>
          <w:iCs/>
          <w:sz w:val="22"/>
          <w:szCs w:val="22"/>
        </w:rPr>
      </w:pPr>
      <w:r w:rsidRPr="0089139F">
        <w:rPr>
          <w:rFonts w:ascii="Noto Sans" w:eastAsia="Century Gothic" w:hAnsi="Noto Sans" w:cs="Noto Sans"/>
          <w:bCs/>
          <w:iCs/>
          <w:sz w:val="22"/>
          <w:szCs w:val="22"/>
        </w:rPr>
        <w:t xml:space="preserve">El Plan Nacional de Desarrollo 2019-2024 está conformado por 12 Principios Rectores, tres Ejes Generales y la Visión hacia 2024, los cuales definen las prioridades del desarrollo integral, equitativo, incluyente, sustentable y sostenible que persigue el país, y los logros que se tendrán en 2024 (Figura 1). Asimismo, el Plan establece como objetivo superior es: </w:t>
      </w:r>
      <w:r w:rsidRPr="0089139F">
        <w:rPr>
          <w:rFonts w:ascii="Noto Sans" w:eastAsia="Century Gothic" w:hAnsi="Noto Sans" w:cs="Noto Sans"/>
          <w:b/>
          <w:bCs/>
          <w:iCs/>
          <w:sz w:val="22"/>
          <w:szCs w:val="22"/>
        </w:rPr>
        <w:t>”El bienestar general de la población”</w:t>
      </w:r>
      <w:r w:rsidRPr="0089139F">
        <w:rPr>
          <w:rFonts w:ascii="Noto Sans" w:eastAsia="Century Gothic" w:hAnsi="Noto Sans" w:cs="Noto Sans"/>
          <w:bCs/>
          <w:iCs/>
          <w:sz w:val="22"/>
          <w:szCs w:val="22"/>
        </w:rPr>
        <w:t>, el cual se busca alcanzar a través de la construcción de un modelo viable de desarrollo económico, de ordenamiento político y de convivencia entre los sectores sociales, que garantice un progreso con justicia y un crecimiento con bienestar.</w:t>
      </w:r>
    </w:p>
    <w:p w14:paraId="06D8ABA9" w14:textId="77777777" w:rsidR="0020644B" w:rsidRPr="0089139F" w:rsidRDefault="0020644B" w:rsidP="0020644B">
      <w:pPr>
        <w:keepNext/>
        <w:spacing w:before="240" w:after="240" w:line="276" w:lineRule="auto"/>
        <w:jc w:val="both"/>
        <w:outlineLvl w:val="1"/>
        <w:rPr>
          <w:rFonts w:ascii="Noto Sans" w:eastAsia="Century Gothic" w:hAnsi="Noto Sans" w:cs="Noto Sans"/>
          <w:b/>
          <w:bCs/>
          <w:iCs/>
          <w:sz w:val="22"/>
          <w:szCs w:val="22"/>
        </w:rPr>
      </w:pPr>
      <w:r w:rsidRPr="0089139F">
        <w:rPr>
          <w:rFonts w:ascii="Noto Sans" w:eastAsia="Century Gothic" w:hAnsi="Noto Sans" w:cs="Noto Sans"/>
          <w:bCs/>
          <w:iCs/>
          <w:sz w:val="22"/>
          <w:szCs w:val="22"/>
        </w:rPr>
        <w:t xml:space="preserve">El Pp U009 “Vigilancia Epidemiológica” se enfrenta a los desafíos plasmados desde la nueva perspectiva nacional de esta administración en el Plan Nacional de Desarrollo 2019-2024 y cuyo objetivo superior es </w:t>
      </w:r>
      <w:r w:rsidRPr="0089139F">
        <w:rPr>
          <w:rFonts w:ascii="Noto Sans" w:eastAsia="Century Gothic" w:hAnsi="Noto Sans" w:cs="Noto Sans"/>
          <w:b/>
          <w:bCs/>
          <w:iCs/>
          <w:sz w:val="22"/>
          <w:szCs w:val="22"/>
        </w:rPr>
        <w:t>“El bienestar general de la población”</w:t>
      </w:r>
      <w:r w:rsidRPr="0089139F">
        <w:rPr>
          <w:rFonts w:ascii="Noto Sans" w:eastAsia="Century Gothic" w:hAnsi="Noto Sans" w:cs="Noto Sans"/>
          <w:bCs/>
          <w:iCs/>
          <w:sz w:val="22"/>
          <w:szCs w:val="22"/>
        </w:rPr>
        <w:t xml:space="preserve"> siguiendo uno de los Principios Rectores de </w:t>
      </w:r>
      <w:r w:rsidRPr="0089139F">
        <w:rPr>
          <w:rFonts w:ascii="Noto Sans" w:eastAsia="Century Gothic" w:hAnsi="Noto Sans" w:cs="Noto Sans"/>
          <w:b/>
          <w:bCs/>
          <w:iCs/>
          <w:sz w:val="22"/>
          <w:szCs w:val="22"/>
        </w:rPr>
        <w:t>“No dejar a nadie atrás, no dejar a nadie fuera” y el Eje 2 Política Social y la estrategia 2.1 “Construir un país con bienestar”.</w:t>
      </w:r>
    </w:p>
    <w:p w14:paraId="413E2618" w14:textId="77777777" w:rsidR="0020644B" w:rsidRPr="0089139F" w:rsidRDefault="0020644B" w:rsidP="0020644B">
      <w:pPr>
        <w:keepNext/>
        <w:spacing w:before="240" w:after="240" w:line="276" w:lineRule="auto"/>
        <w:jc w:val="both"/>
        <w:outlineLvl w:val="1"/>
        <w:rPr>
          <w:rFonts w:ascii="Noto Sans" w:eastAsia="Century Gothic" w:hAnsi="Noto Sans" w:cs="Noto Sans"/>
          <w:bCs/>
          <w:iCs/>
          <w:sz w:val="22"/>
          <w:szCs w:val="22"/>
        </w:rPr>
      </w:pPr>
      <w:r w:rsidRPr="0089139F">
        <w:rPr>
          <w:rFonts w:ascii="Noto Sans" w:eastAsia="Century Gothic" w:hAnsi="Noto Sans" w:cs="Noto Sans"/>
          <w:bCs/>
          <w:iCs/>
          <w:sz w:val="22"/>
          <w:szCs w:val="22"/>
        </w:rPr>
        <w:t>Así mismo, el Programa Sectorial de Salud 2020-2024 contempla 5 objetivos prioritarios, 26 estrategias prioritarias y 201 acciones puntuales con la siguiente estructura:</w:t>
      </w:r>
    </w:p>
    <w:p w14:paraId="08484D4D" w14:textId="77777777" w:rsidR="0020644B" w:rsidRPr="0089139F" w:rsidRDefault="0020644B" w:rsidP="0020644B">
      <w:pPr>
        <w:keepNext/>
        <w:spacing w:before="240" w:after="240" w:line="276" w:lineRule="auto"/>
        <w:jc w:val="both"/>
        <w:outlineLvl w:val="1"/>
        <w:rPr>
          <w:rFonts w:ascii="Noto Sans" w:eastAsia="Century Gothic" w:hAnsi="Noto Sans" w:cs="Noto Sans"/>
          <w:bCs/>
          <w:iCs/>
          <w:sz w:val="22"/>
          <w:szCs w:val="22"/>
        </w:rPr>
      </w:pPr>
      <w:r w:rsidRPr="0089139F">
        <w:rPr>
          <w:rFonts w:ascii="Noto Sans" w:eastAsia="Century Gothic" w:hAnsi="Noto Sans" w:cs="Noto Sans"/>
          <w:bCs/>
          <w:iCs/>
          <w:sz w:val="22"/>
          <w:szCs w:val="22"/>
        </w:rPr>
        <w:t>Teniendo como referente el principio dispuesto en el Plan Nacional de Desarrollo</w:t>
      </w:r>
      <w:r w:rsidRPr="0089139F">
        <w:rPr>
          <w:rFonts w:ascii="Noto Sans" w:eastAsia="Century Gothic" w:hAnsi="Noto Sans" w:cs="Noto Sans"/>
          <w:b/>
          <w:bCs/>
          <w:iCs/>
          <w:sz w:val="22"/>
          <w:szCs w:val="22"/>
        </w:rPr>
        <w:t xml:space="preserve">: "No dejar a nadie atrás, no dejar a nadie afuera" y la estrategia “Construir un país con bienestar. </w:t>
      </w:r>
      <w:r w:rsidRPr="0089139F">
        <w:rPr>
          <w:rFonts w:ascii="Noto Sans" w:eastAsia="Century Gothic" w:hAnsi="Noto Sans" w:cs="Noto Sans"/>
          <w:bCs/>
          <w:iCs/>
          <w:sz w:val="22"/>
          <w:szCs w:val="22"/>
        </w:rPr>
        <w:t>El Pp U009 se enmarca dentro de la estructura del Programa Sectorial de Salud en los objetivos siguientes:</w:t>
      </w:r>
    </w:p>
    <w:p w14:paraId="58CA29A2" w14:textId="77777777" w:rsidR="0020644B" w:rsidRPr="0089139F" w:rsidRDefault="0020644B" w:rsidP="0020644B">
      <w:pPr>
        <w:keepNext/>
        <w:spacing w:before="240" w:after="240" w:line="276" w:lineRule="auto"/>
        <w:jc w:val="both"/>
        <w:outlineLvl w:val="1"/>
        <w:rPr>
          <w:rFonts w:ascii="Noto Sans" w:eastAsia="Century Gothic" w:hAnsi="Noto Sans" w:cs="Noto Sans"/>
          <w:bCs/>
          <w:iCs/>
          <w:sz w:val="22"/>
          <w:szCs w:val="22"/>
        </w:rPr>
      </w:pPr>
      <w:r w:rsidRPr="0089139F">
        <w:rPr>
          <w:rFonts w:ascii="Noto Sans" w:eastAsia="Century Gothic" w:hAnsi="Noto Sans" w:cs="Noto Sans"/>
          <w:bCs/>
          <w:iCs/>
          <w:sz w:val="22"/>
          <w:szCs w:val="22"/>
        </w:rPr>
        <w:t>Cuarto objetivo. - Contempla las acciones relacionadas con la vigilancia sanitaria y epidemiológica orientadas a la previsión de emergencias o propagación de daños a la salud que podrían atenderse con acceso a información, asesoramiento, acceso a servicios integrados y estrategias que modifiquen los factores estructurales de riesgo, y así mitigar sus efectos y preparar la capacidad de respuesta del sistema local o regional de salud.</w:t>
      </w:r>
    </w:p>
    <w:p w14:paraId="5EAC2190" w14:textId="3C7CC2C3" w:rsidR="0020644B" w:rsidRDefault="0020644B" w:rsidP="0020644B">
      <w:pPr>
        <w:keepNext/>
        <w:spacing w:before="240" w:after="240" w:line="276" w:lineRule="auto"/>
        <w:jc w:val="both"/>
        <w:outlineLvl w:val="1"/>
        <w:rPr>
          <w:rFonts w:ascii="Noto Sans" w:eastAsia="Century Gothic" w:hAnsi="Noto Sans" w:cs="Noto Sans"/>
          <w:bCs/>
          <w:iCs/>
          <w:sz w:val="22"/>
          <w:szCs w:val="22"/>
        </w:rPr>
      </w:pPr>
      <w:r w:rsidRPr="0089139F">
        <w:rPr>
          <w:rFonts w:ascii="Noto Sans" w:eastAsia="Century Gothic" w:hAnsi="Noto Sans" w:cs="Noto Sans"/>
          <w:bCs/>
          <w:iCs/>
          <w:sz w:val="22"/>
          <w:szCs w:val="22"/>
        </w:rPr>
        <w:t>Quinto objetivo. - Tiene como propósito la atención de los problemas predominantes de salud pública, como es la obesidad y las enfermedades no transmisibles, la salud sexual y reproductiva, la salud mental y adicciones cuya conjunción afectan tanto la salud individual y poblacional. E</w:t>
      </w:r>
      <w:r w:rsidR="0089139F">
        <w:rPr>
          <w:rFonts w:ascii="Noto Sans" w:eastAsia="Century Gothic" w:hAnsi="Noto Sans" w:cs="Noto Sans"/>
          <w:bCs/>
          <w:iCs/>
          <w:sz w:val="22"/>
          <w:szCs w:val="22"/>
        </w:rPr>
        <w:t xml:space="preserve">n </w:t>
      </w:r>
      <w:r w:rsidRPr="0089139F">
        <w:rPr>
          <w:rFonts w:ascii="Noto Sans" w:eastAsia="Century Gothic" w:hAnsi="Noto Sans" w:cs="Noto Sans"/>
          <w:bCs/>
          <w:iCs/>
          <w:sz w:val="22"/>
          <w:szCs w:val="22"/>
        </w:rPr>
        <w:t>resumen, el Pp U009 “Vigilancia Epidemiológica” se enmarca dentro del PND y PROSESA de la siguiente forma:</w:t>
      </w:r>
    </w:p>
    <w:p w14:paraId="49D243CD" w14:textId="77777777" w:rsidR="0089139F" w:rsidRPr="0089139F" w:rsidRDefault="0089139F" w:rsidP="0020644B">
      <w:pPr>
        <w:keepNext/>
        <w:spacing w:before="240" w:after="240" w:line="276" w:lineRule="auto"/>
        <w:jc w:val="both"/>
        <w:outlineLvl w:val="1"/>
        <w:rPr>
          <w:rFonts w:ascii="Noto Sans" w:eastAsia="Century Gothic" w:hAnsi="Noto Sans" w:cs="Noto Sans"/>
          <w:bCs/>
          <w:iCs/>
          <w:sz w:val="22"/>
          <w:szCs w:val="22"/>
        </w:rPr>
      </w:pPr>
    </w:p>
    <w:p w14:paraId="0C9078DE" w14:textId="77777777" w:rsidR="0020644B" w:rsidRPr="0089139F" w:rsidRDefault="0020644B" w:rsidP="0020644B">
      <w:pPr>
        <w:keepNext/>
        <w:spacing w:before="240" w:after="240" w:line="276" w:lineRule="auto"/>
        <w:jc w:val="center"/>
        <w:outlineLvl w:val="1"/>
        <w:rPr>
          <w:rFonts w:ascii="Noto Sans" w:eastAsia="Century Gothic" w:hAnsi="Noto Sans" w:cs="Noto Sans"/>
          <w:b/>
          <w:bCs/>
          <w:iCs/>
          <w:sz w:val="22"/>
          <w:szCs w:val="22"/>
        </w:rPr>
      </w:pPr>
      <w:r w:rsidRPr="0089139F">
        <w:rPr>
          <w:rFonts w:ascii="Noto Sans" w:eastAsia="Century Gothic" w:hAnsi="Noto Sans" w:cs="Noto Sans"/>
          <w:b/>
          <w:bCs/>
          <w:iCs/>
          <w:sz w:val="22"/>
          <w:szCs w:val="22"/>
        </w:rPr>
        <w:t>Alineación Pp U009 “Vigilancia Epidemiológica” al PND 2019-2024 y PROSESA 2020-2024.</w:t>
      </w:r>
    </w:p>
    <w:p w14:paraId="1D79912D" w14:textId="77777777" w:rsidR="0020644B" w:rsidRPr="0089139F" w:rsidRDefault="0020644B" w:rsidP="0020644B">
      <w:pPr>
        <w:rPr>
          <w:rFonts w:ascii="Noto Sans" w:hAnsi="Noto Sans" w:cs="Noto Sans"/>
        </w:rPr>
      </w:pPr>
      <w:r w:rsidRPr="0089139F">
        <w:rPr>
          <w:rFonts w:ascii="Noto Sans" w:hAnsi="Noto Sans" w:cs="Noto Sans"/>
          <w:noProof/>
          <w:lang w:val="es-MX"/>
        </w:rPr>
        <w:drawing>
          <wp:inline distT="0" distB="0" distL="0" distR="0" wp14:anchorId="1B57F24D" wp14:editId="17F73876">
            <wp:extent cx="6390640" cy="4462286"/>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18715" cy="4481890"/>
                    </a:xfrm>
                    <a:prstGeom prst="rect">
                      <a:avLst/>
                    </a:prstGeom>
                    <a:noFill/>
                    <a:ln>
                      <a:noFill/>
                    </a:ln>
                  </pic:spPr>
                </pic:pic>
              </a:graphicData>
            </a:graphic>
          </wp:inline>
        </w:drawing>
      </w:r>
    </w:p>
    <w:p w14:paraId="5BC32B7C" w14:textId="77777777" w:rsidR="0020644B" w:rsidRPr="0089139F" w:rsidRDefault="0020644B" w:rsidP="0020644B">
      <w:pPr>
        <w:keepNext/>
        <w:spacing w:before="240" w:after="120" w:line="360" w:lineRule="auto"/>
        <w:outlineLvl w:val="1"/>
        <w:rPr>
          <w:rFonts w:ascii="Noto Sans" w:eastAsia="Century Gothic" w:hAnsi="Noto Sans" w:cs="Noto Sans"/>
          <w:b/>
          <w:bCs/>
          <w:iCs/>
          <w:sz w:val="22"/>
          <w:szCs w:val="22"/>
        </w:rPr>
      </w:pPr>
      <w:r w:rsidRPr="0089139F">
        <w:rPr>
          <w:rFonts w:ascii="Noto Sans" w:eastAsia="Century Gothic" w:hAnsi="Noto Sans" w:cs="Noto Sans"/>
          <w:b/>
          <w:bCs/>
          <w:iCs/>
          <w:sz w:val="22"/>
          <w:szCs w:val="22"/>
        </w:rPr>
        <w:t xml:space="preserve">4.4 Cobertura  </w:t>
      </w:r>
    </w:p>
    <w:p w14:paraId="69682077" w14:textId="77777777" w:rsidR="0020644B" w:rsidRPr="0089139F" w:rsidRDefault="0020644B" w:rsidP="0020644B">
      <w:pPr>
        <w:keepNext/>
        <w:spacing w:before="240" w:after="120" w:line="360" w:lineRule="auto"/>
        <w:outlineLvl w:val="2"/>
        <w:rPr>
          <w:rFonts w:ascii="Noto Sans" w:eastAsia="Century Gothic" w:hAnsi="Noto Sans" w:cs="Noto Sans"/>
          <w:b/>
          <w:bCs/>
          <w:sz w:val="22"/>
          <w:szCs w:val="22"/>
        </w:rPr>
      </w:pPr>
      <w:r w:rsidRPr="0089139F">
        <w:rPr>
          <w:rFonts w:ascii="Noto Sans" w:eastAsia="Century Gothic" w:hAnsi="Noto Sans" w:cs="Noto Sans"/>
          <w:b/>
          <w:bCs/>
          <w:sz w:val="22"/>
          <w:szCs w:val="22"/>
        </w:rPr>
        <w:t xml:space="preserve">4.4.1 Identificación y caracterización de la población o área de enfoque potencial </w:t>
      </w:r>
    </w:p>
    <w:p w14:paraId="5AB26F10" w14:textId="4C8639D6" w:rsidR="0020644B" w:rsidRPr="0089139F" w:rsidRDefault="0020644B" w:rsidP="0020644B">
      <w:pPr>
        <w:spacing w:line="276" w:lineRule="auto"/>
        <w:jc w:val="both"/>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En el mundo, sistemáticamente se ha registrado la ocurrencia de enfermedades y factores que las condicionan, es</w:t>
      </w:r>
      <w:r w:rsidR="0089139F" w:rsidRPr="0089139F">
        <w:rPr>
          <w:rFonts w:ascii="Noto Sans" w:eastAsia="Century Gothic" w:hAnsi="Noto Sans" w:cs="Noto Sans"/>
          <w:sz w:val="22"/>
          <w:szCs w:val="22"/>
          <w:lang w:val="es-MX"/>
        </w:rPr>
        <w:t xml:space="preserve"> la</w:t>
      </w:r>
      <w:r w:rsidRPr="0089139F">
        <w:rPr>
          <w:rFonts w:ascii="Noto Sans" w:eastAsia="Century Gothic" w:hAnsi="Noto Sans" w:cs="Noto Sans"/>
          <w:sz w:val="22"/>
          <w:szCs w:val="22"/>
          <w:lang w:val="es-MX"/>
        </w:rPr>
        <w:t xml:space="preserve"> finalidad de la vigilancia epidemiológica dar a conocer su frecuencia y su tendencia, así como proporcionar información a los programas preventivos para llevar a cabo acciones de salud de control o eliminación. La detección y notificación de enfermedades es de gran importancia ya que constituye el punto de partida, de una serie de actividades para establecer la vigilancia epidemiológica.</w:t>
      </w:r>
    </w:p>
    <w:p w14:paraId="0A5B9FFE" w14:textId="77777777" w:rsidR="0020644B" w:rsidRPr="0089139F" w:rsidRDefault="0020644B" w:rsidP="0020644B">
      <w:pPr>
        <w:spacing w:line="276" w:lineRule="auto"/>
        <w:jc w:val="both"/>
        <w:rPr>
          <w:rFonts w:ascii="Noto Sans" w:eastAsia="Century Gothic" w:hAnsi="Noto Sans" w:cs="Noto Sans"/>
          <w:sz w:val="22"/>
          <w:szCs w:val="22"/>
          <w:lang w:val="es-MX"/>
        </w:rPr>
      </w:pPr>
      <w:r w:rsidRPr="0089139F">
        <w:rPr>
          <w:rFonts w:ascii="Noto Sans" w:eastAsia="Century Gothic" w:hAnsi="Noto Sans" w:cs="Noto Sans"/>
          <w:sz w:val="22"/>
          <w:szCs w:val="22"/>
          <w:lang w:val="es-MX"/>
        </w:rPr>
        <w:t>El contexto en el que funciona un sistema de vigilancia, en términos prácticos, está formado por la población que habita el territorio, la red de servicios de atención de salud y la autoridad sanitaria. El proceso se inicia en la población donde ocurre la demanda del servicio de atención medica por una enfermedad o evento y termina en la población donde se ejecutan las medidas de control. Los Servicios de Salud son quienes detectan, notifican y confirman los eventos de salud bajo vigilancia y es a través de la información emitida que los programas de control ejecutan sus acciones. En consecuencia, la operación eficiente del sistema de vigilancia depende en gran medida del nivel de organización, infraestructura, capacitación, permanencia y compromiso de los Servicios de Salud.</w:t>
      </w:r>
    </w:p>
    <w:p w14:paraId="78158B51" w14:textId="77777777" w:rsidR="0020644B" w:rsidRPr="0089139F" w:rsidRDefault="0020644B" w:rsidP="0020644B">
      <w:pPr>
        <w:keepNext/>
        <w:spacing w:before="240" w:after="120" w:line="360" w:lineRule="auto"/>
        <w:outlineLvl w:val="2"/>
        <w:rPr>
          <w:rFonts w:ascii="Noto Sans" w:eastAsia="Century Gothic" w:hAnsi="Noto Sans" w:cs="Noto Sans"/>
          <w:b/>
          <w:bCs/>
          <w:sz w:val="22"/>
          <w:szCs w:val="22"/>
        </w:rPr>
      </w:pPr>
      <w:r w:rsidRPr="0089139F">
        <w:rPr>
          <w:rFonts w:ascii="Noto Sans" w:eastAsia="Century Gothic" w:hAnsi="Noto Sans" w:cs="Noto Sans"/>
          <w:b/>
          <w:bCs/>
          <w:sz w:val="22"/>
          <w:szCs w:val="22"/>
        </w:rPr>
        <w:t xml:space="preserve">4.4.3 Cuantificación de la población o área de enfoque objetivo </w:t>
      </w:r>
    </w:p>
    <w:p w14:paraId="6D8E9D88" w14:textId="77777777" w:rsidR="0020644B" w:rsidRPr="0089139F" w:rsidRDefault="0020644B" w:rsidP="0020644B">
      <w:pPr>
        <w:pBdr>
          <w:top w:val="nil"/>
          <w:left w:val="nil"/>
          <w:bottom w:val="nil"/>
          <w:right w:val="nil"/>
          <w:between w:val="nil"/>
        </w:pBdr>
        <w:spacing w:line="276" w:lineRule="auto"/>
        <w:jc w:val="both"/>
        <w:rPr>
          <w:rFonts w:ascii="Noto Sans" w:eastAsia="Century Gothic" w:hAnsi="Noto Sans" w:cs="Noto Sans"/>
          <w:b/>
          <w:sz w:val="22"/>
          <w:szCs w:val="22"/>
        </w:rPr>
      </w:pPr>
      <w:r w:rsidRPr="0089139F">
        <w:rPr>
          <w:rFonts w:ascii="Noto Sans" w:eastAsia="Century Gothic" w:hAnsi="Noto Sans" w:cs="Noto Sans"/>
          <w:sz w:val="22"/>
          <w:szCs w:val="22"/>
          <w:lang w:val="es-MX"/>
        </w:rPr>
        <w:t>Todas las personas que habitan o transitan en el territorio nacional, al ser población susceptible de enfermar por patologías contenidas en la Vigilancia Epidemiológica, identificadas a través de los Servicios de Salud en las Entidades Federativas.</w:t>
      </w:r>
    </w:p>
    <w:p w14:paraId="133E5508" w14:textId="77777777" w:rsidR="0020644B" w:rsidRPr="0089139F" w:rsidRDefault="0020644B" w:rsidP="0020644B">
      <w:pPr>
        <w:rPr>
          <w:rFonts w:ascii="Noto Sans" w:hAnsi="Noto Sans" w:cs="Noto Sans"/>
        </w:rPr>
      </w:pPr>
    </w:p>
    <w:p w14:paraId="5950D9AA" w14:textId="77777777" w:rsidR="0020644B" w:rsidRPr="0089139F" w:rsidRDefault="0020644B" w:rsidP="0020644B">
      <w:pPr>
        <w:keepNext/>
        <w:spacing w:before="240" w:after="120" w:line="360" w:lineRule="auto"/>
        <w:outlineLvl w:val="2"/>
        <w:rPr>
          <w:rFonts w:ascii="Noto Sans" w:eastAsia="Century Gothic" w:hAnsi="Noto Sans" w:cs="Noto Sans"/>
          <w:b/>
          <w:bCs/>
          <w:sz w:val="22"/>
          <w:szCs w:val="22"/>
        </w:rPr>
      </w:pPr>
      <w:r w:rsidRPr="0089139F">
        <w:rPr>
          <w:rFonts w:ascii="Noto Sans" w:eastAsia="Century Gothic" w:hAnsi="Noto Sans" w:cs="Noto Sans"/>
          <w:b/>
          <w:bCs/>
          <w:sz w:val="22"/>
          <w:szCs w:val="22"/>
        </w:rPr>
        <w:t xml:space="preserve">4.4.4 Frecuencia de actualización de la población o área de enfoque potencial y objetivo </w:t>
      </w:r>
    </w:p>
    <w:p w14:paraId="0DBB2CB9" w14:textId="77777777" w:rsidR="0020644B" w:rsidRPr="0089139F" w:rsidRDefault="0020644B" w:rsidP="0020644B">
      <w:pPr>
        <w:keepNext/>
        <w:spacing w:before="240" w:after="120" w:line="276" w:lineRule="auto"/>
        <w:outlineLvl w:val="1"/>
        <w:rPr>
          <w:rFonts w:ascii="Noto Sans" w:eastAsia="Century Gothic" w:hAnsi="Noto Sans" w:cs="Noto Sans"/>
          <w:bCs/>
          <w:iCs/>
          <w:sz w:val="22"/>
          <w:szCs w:val="22"/>
        </w:rPr>
      </w:pPr>
      <w:r w:rsidRPr="0089139F">
        <w:rPr>
          <w:rFonts w:ascii="Noto Sans" w:eastAsia="Century Gothic" w:hAnsi="Noto Sans" w:cs="Noto Sans"/>
          <w:bCs/>
          <w:iCs/>
          <w:sz w:val="22"/>
          <w:szCs w:val="22"/>
        </w:rPr>
        <w:t>Se revisará de manera anual, pero por el tema de cuidar a toda la población que habita el territorio nacional es poco factible el cambio a no menos de lo planteado.</w:t>
      </w:r>
    </w:p>
    <w:p w14:paraId="60AF6024" w14:textId="77777777" w:rsidR="0020644B" w:rsidRPr="0089139F" w:rsidRDefault="0020644B" w:rsidP="0020644B">
      <w:pPr>
        <w:keepNext/>
        <w:numPr>
          <w:ilvl w:val="1"/>
          <w:numId w:val="1"/>
        </w:numPr>
        <w:spacing w:before="240" w:after="120" w:line="360" w:lineRule="auto"/>
        <w:outlineLvl w:val="1"/>
        <w:rPr>
          <w:rFonts w:ascii="Noto Sans" w:eastAsia="Century Gothic" w:hAnsi="Noto Sans" w:cs="Noto Sans"/>
          <w:b/>
          <w:bCs/>
          <w:iCs/>
          <w:sz w:val="22"/>
          <w:szCs w:val="22"/>
        </w:rPr>
      </w:pPr>
      <w:r w:rsidRPr="0089139F">
        <w:rPr>
          <w:rFonts w:ascii="Noto Sans" w:eastAsia="Century Gothic" w:hAnsi="Noto Sans" w:cs="Noto Sans"/>
          <w:b/>
          <w:bCs/>
          <w:iCs/>
          <w:sz w:val="22"/>
          <w:szCs w:val="22"/>
        </w:rPr>
        <w:t>Análisis de alternativas</w:t>
      </w:r>
    </w:p>
    <w:p w14:paraId="430821FD" w14:textId="77777777" w:rsidR="0020644B" w:rsidRPr="0089139F" w:rsidRDefault="0020644B" w:rsidP="0020644B">
      <w:pPr>
        <w:spacing w:line="276" w:lineRule="auto"/>
        <w:jc w:val="both"/>
        <w:rPr>
          <w:rFonts w:ascii="Noto Sans" w:eastAsia="Century Gothic" w:hAnsi="Noto Sans" w:cs="Noto Sans"/>
          <w:bCs/>
          <w:iCs/>
          <w:sz w:val="22"/>
          <w:szCs w:val="22"/>
        </w:rPr>
      </w:pPr>
      <w:r w:rsidRPr="0089139F">
        <w:rPr>
          <w:rFonts w:ascii="Noto Sans" w:eastAsia="Century Gothic" w:hAnsi="Noto Sans" w:cs="Noto Sans"/>
          <w:bCs/>
          <w:iCs/>
          <w:sz w:val="22"/>
          <w:szCs w:val="22"/>
        </w:rPr>
        <w:t>Primera alternativa: Para reducir los efectos negativos que las enfermedades sujetas a Vigilancia Epidemiológica tengan en la población, resulta primordial la notificación de estas patologías lo cual se logrará reforzando la capacitación y supervisión, para crear actitudes y aptitudes en el personal de salud.</w:t>
      </w:r>
    </w:p>
    <w:p w14:paraId="2A0CC9BE" w14:textId="77777777" w:rsidR="0020644B" w:rsidRPr="0089139F" w:rsidRDefault="0020644B" w:rsidP="0020644B">
      <w:pPr>
        <w:spacing w:line="276" w:lineRule="auto"/>
        <w:jc w:val="both"/>
        <w:rPr>
          <w:rFonts w:ascii="Noto Sans" w:eastAsia="Century Gothic" w:hAnsi="Noto Sans" w:cs="Noto Sans"/>
          <w:bCs/>
          <w:iCs/>
          <w:sz w:val="22"/>
          <w:szCs w:val="22"/>
        </w:rPr>
      </w:pPr>
    </w:p>
    <w:p w14:paraId="47A447E7" w14:textId="77777777" w:rsidR="0020644B" w:rsidRPr="0089139F" w:rsidRDefault="0020644B" w:rsidP="0020644B">
      <w:pPr>
        <w:spacing w:line="276" w:lineRule="auto"/>
        <w:jc w:val="both"/>
        <w:rPr>
          <w:rFonts w:ascii="Noto Sans" w:eastAsia="Century Gothic" w:hAnsi="Noto Sans" w:cs="Noto Sans"/>
          <w:bCs/>
          <w:iCs/>
          <w:sz w:val="22"/>
          <w:szCs w:val="22"/>
          <w:lang w:val="es-MX"/>
        </w:rPr>
      </w:pPr>
      <w:r w:rsidRPr="0089139F">
        <w:rPr>
          <w:rFonts w:ascii="Noto Sans" w:eastAsia="Century Gothic" w:hAnsi="Noto Sans" w:cs="Noto Sans"/>
          <w:bCs/>
          <w:iCs/>
          <w:sz w:val="22"/>
          <w:szCs w:val="22"/>
        </w:rPr>
        <w:t>Segunda alternativa: Como segunda alternativa se encuentra una buena planeación para contar con recursos suficientes</w:t>
      </w:r>
      <w:r w:rsidRPr="0089139F">
        <w:rPr>
          <w:rFonts w:ascii="Noto Sans" w:eastAsia="Century Gothic" w:hAnsi="Noto Sans" w:cs="Noto Sans"/>
          <w:bCs/>
          <w:iCs/>
          <w:sz w:val="22"/>
          <w:szCs w:val="22"/>
          <w:lang w:val="es-MX"/>
        </w:rPr>
        <w:t xml:space="preserve"> para la detección, confirmación por laboratorio, prevención, control de enfermedades sujetos a vigilancia epidemiológica, así como, brindar información para contar con un Programa de Vacunación Universal acorde con el panorama epidemiológico nacional que permita coberturas altas de inmunización, creando inmunidad de rebaño y disminuyendo el número de individuos susceptibles.</w:t>
      </w:r>
    </w:p>
    <w:p w14:paraId="04674682" w14:textId="77777777" w:rsidR="0020644B" w:rsidRPr="0089139F" w:rsidRDefault="0020644B" w:rsidP="0020644B">
      <w:pPr>
        <w:spacing w:line="276" w:lineRule="auto"/>
        <w:jc w:val="both"/>
        <w:rPr>
          <w:rFonts w:ascii="Noto Sans" w:eastAsia="Century Gothic" w:hAnsi="Noto Sans" w:cs="Noto Sans"/>
          <w:bCs/>
          <w:iCs/>
          <w:sz w:val="22"/>
          <w:szCs w:val="22"/>
          <w:lang w:val="es-MX"/>
        </w:rPr>
      </w:pPr>
    </w:p>
    <w:p w14:paraId="090897B0" w14:textId="77777777" w:rsidR="0020644B" w:rsidRPr="0089139F" w:rsidRDefault="0020644B" w:rsidP="0020644B">
      <w:pPr>
        <w:keepNext/>
        <w:numPr>
          <w:ilvl w:val="1"/>
          <w:numId w:val="1"/>
        </w:numPr>
        <w:spacing w:before="240" w:after="120" w:line="360" w:lineRule="auto"/>
        <w:outlineLvl w:val="1"/>
        <w:rPr>
          <w:rFonts w:ascii="Noto Sans" w:eastAsia="Century Gothic" w:hAnsi="Noto Sans" w:cs="Noto Sans"/>
          <w:b/>
          <w:bCs/>
          <w:iCs/>
          <w:sz w:val="22"/>
          <w:szCs w:val="22"/>
        </w:rPr>
      </w:pPr>
      <w:r w:rsidRPr="0089139F">
        <w:rPr>
          <w:rFonts w:ascii="Noto Sans" w:eastAsia="Century Gothic" w:hAnsi="Noto Sans" w:cs="Noto Sans"/>
          <w:b/>
          <w:bCs/>
          <w:iCs/>
          <w:sz w:val="22"/>
          <w:szCs w:val="22"/>
        </w:rPr>
        <w:t xml:space="preserve">Diseño del programa </w:t>
      </w:r>
    </w:p>
    <w:p w14:paraId="29AFDFBB" w14:textId="77777777" w:rsidR="0020644B" w:rsidRPr="0089139F" w:rsidRDefault="0020644B" w:rsidP="0020644B">
      <w:pPr>
        <w:keepNext/>
        <w:spacing w:before="240" w:after="120" w:line="360" w:lineRule="auto"/>
        <w:outlineLvl w:val="2"/>
        <w:rPr>
          <w:rFonts w:ascii="Noto Sans" w:eastAsia="Century Gothic" w:hAnsi="Noto Sans" w:cs="Noto Sans"/>
          <w:b/>
          <w:bCs/>
          <w:sz w:val="22"/>
          <w:szCs w:val="22"/>
        </w:rPr>
      </w:pPr>
      <w:r w:rsidRPr="0089139F">
        <w:rPr>
          <w:rFonts w:ascii="Noto Sans" w:eastAsia="Century Gothic" w:hAnsi="Noto Sans" w:cs="Noto Sans"/>
          <w:b/>
          <w:bCs/>
          <w:sz w:val="22"/>
          <w:szCs w:val="22"/>
        </w:rPr>
        <w:t>4.6.1 Modalidad del programa</w:t>
      </w:r>
    </w:p>
    <w:p w14:paraId="5B26C387" w14:textId="77777777" w:rsidR="0020644B" w:rsidRPr="0089139F" w:rsidRDefault="0020644B" w:rsidP="0020644B">
      <w:pPr>
        <w:rPr>
          <w:rFonts w:ascii="Noto Sans" w:hAnsi="Noto Sans" w:cs="Noto Sans"/>
          <w:b/>
        </w:rPr>
      </w:pPr>
    </w:p>
    <w:p w14:paraId="7927ED87" w14:textId="77777777" w:rsidR="0020644B" w:rsidRPr="0089139F" w:rsidRDefault="0020644B" w:rsidP="0020644B">
      <w:pPr>
        <w:spacing w:line="360" w:lineRule="auto"/>
        <w:jc w:val="both"/>
        <w:rPr>
          <w:rFonts w:ascii="Noto Sans" w:eastAsia="Century Gothic" w:hAnsi="Noto Sans" w:cs="Noto Sans"/>
          <w:bCs/>
          <w:iCs/>
          <w:sz w:val="22"/>
          <w:szCs w:val="22"/>
          <w:lang w:val="es-MX"/>
        </w:rPr>
      </w:pPr>
      <w:r w:rsidRPr="0089139F">
        <w:rPr>
          <w:rFonts w:ascii="Noto Sans" w:eastAsia="Century Gothic" w:hAnsi="Noto Sans" w:cs="Noto Sans"/>
          <w:bCs/>
          <w:iCs/>
          <w:sz w:val="22"/>
          <w:szCs w:val="22"/>
          <w:lang w:val="es-MX"/>
        </w:rPr>
        <w:t xml:space="preserve">La modalidad del programa presupuestario se define como un clasificador que ayuda a identificar las características de los recursos en función de la naturaleza y objetivos del programa. Estos programas se definen como una categoría orientada a la agrupación de proyectos que persiguen la misma finalidad y es una herramienta que ayuda a organizar en forma representativa y homogénea las asignaciones de recursos, mejoran los diagnósticos, focaliza la población potencial y se conoce con mayor claridad el impacto de la intervención gubernamental en el bienestar de la población. </w:t>
      </w:r>
    </w:p>
    <w:p w14:paraId="0BD04BEF" w14:textId="77777777" w:rsidR="0020644B" w:rsidRPr="0089139F" w:rsidRDefault="0020644B" w:rsidP="0020644B">
      <w:pPr>
        <w:spacing w:line="360" w:lineRule="auto"/>
        <w:jc w:val="both"/>
        <w:rPr>
          <w:rFonts w:ascii="Noto Sans" w:eastAsia="Century Gothic" w:hAnsi="Noto Sans" w:cs="Noto Sans"/>
          <w:bCs/>
          <w:iCs/>
          <w:sz w:val="22"/>
          <w:szCs w:val="22"/>
          <w:lang w:val="es-MX"/>
        </w:rPr>
      </w:pPr>
      <w:r w:rsidRPr="0089139F">
        <w:rPr>
          <w:rFonts w:ascii="Noto Sans" w:eastAsia="Century Gothic" w:hAnsi="Noto Sans" w:cs="Noto Sans"/>
          <w:bCs/>
          <w:iCs/>
          <w:sz w:val="22"/>
          <w:szCs w:val="22"/>
          <w:lang w:val="es-MX"/>
        </w:rPr>
        <w:t>Por los atributos del Programa Presupuestario en cuestión se conserva bajo la modalidad U.- Otros Subsidios, estos permiten otorgar subsidios no sujetos a reglas de operación, en su caso, se otorgan mediante convenios</w:t>
      </w:r>
    </w:p>
    <w:p w14:paraId="50FDB4EA" w14:textId="77777777" w:rsidR="0020644B" w:rsidRPr="0089139F" w:rsidRDefault="0020644B" w:rsidP="0020644B">
      <w:pPr>
        <w:rPr>
          <w:rFonts w:ascii="Noto Sans" w:hAnsi="Noto Sans" w:cs="Noto Sans"/>
        </w:rPr>
      </w:pPr>
    </w:p>
    <w:p w14:paraId="30124B7A" w14:textId="77777777" w:rsidR="0020644B" w:rsidRPr="0089139F" w:rsidRDefault="0020644B" w:rsidP="0020644B">
      <w:pPr>
        <w:keepNext/>
        <w:spacing w:before="240" w:after="120" w:line="360" w:lineRule="auto"/>
        <w:outlineLvl w:val="2"/>
        <w:rPr>
          <w:rFonts w:ascii="Noto Sans" w:eastAsia="Century Gothic" w:hAnsi="Noto Sans" w:cs="Noto Sans"/>
          <w:b/>
          <w:bCs/>
          <w:sz w:val="22"/>
          <w:szCs w:val="22"/>
        </w:rPr>
      </w:pPr>
      <w:r w:rsidRPr="0089139F">
        <w:rPr>
          <w:rFonts w:ascii="Noto Sans" w:eastAsia="Century Gothic" w:hAnsi="Noto Sans" w:cs="Noto Sans"/>
          <w:b/>
          <w:bCs/>
          <w:sz w:val="22"/>
          <w:szCs w:val="22"/>
        </w:rPr>
        <w:t>4.6.2 Diseño del programa</w:t>
      </w:r>
    </w:p>
    <w:p w14:paraId="48E65253" w14:textId="77777777" w:rsidR="0020644B" w:rsidRPr="0089139F" w:rsidRDefault="0020644B" w:rsidP="0020644B">
      <w:pPr>
        <w:rPr>
          <w:rFonts w:ascii="Noto Sans" w:hAnsi="Noto Sans" w:cs="Noto Sans"/>
          <w:b/>
        </w:rPr>
      </w:pPr>
    </w:p>
    <w:p w14:paraId="46F10D2C" w14:textId="77777777" w:rsidR="0020644B" w:rsidRPr="0089139F" w:rsidRDefault="0020644B" w:rsidP="0020644B">
      <w:pPr>
        <w:spacing w:line="276" w:lineRule="auto"/>
        <w:jc w:val="both"/>
        <w:rPr>
          <w:rFonts w:ascii="Noto Sans" w:hAnsi="Noto Sans" w:cs="Noto Sans"/>
          <w:sz w:val="22"/>
          <w:szCs w:val="22"/>
        </w:rPr>
      </w:pPr>
      <w:r w:rsidRPr="0089139F">
        <w:rPr>
          <w:rFonts w:ascii="Noto Sans" w:hAnsi="Noto Sans" w:cs="Noto Sans"/>
          <w:sz w:val="22"/>
          <w:szCs w:val="22"/>
        </w:rPr>
        <w:t>Con base en el contexto actual de la situación demográfica y epidemiológica del país, así como al estado actual del problema a atender con la operación del Pp U009, las unidades administrativas de la Secretaría de Salud que deberán tener bajo su responsabilidad la operación del programa son las siguientes:</w:t>
      </w:r>
    </w:p>
    <w:p w14:paraId="289334B7" w14:textId="77777777" w:rsidR="0020644B" w:rsidRPr="0089139F" w:rsidRDefault="0020644B" w:rsidP="0020644B">
      <w:pPr>
        <w:spacing w:line="360" w:lineRule="auto"/>
        <w:jc w:val="both"/>
        <w:rPr>
          <w:rFonts w:ascii="Noto Sans" w:hAnsi="Noto Sans" w:cs="Noto Sans"/>
          <w:sz w:val="22"/>
          <w:szCs w:val="22"/>
        </w:rPr>
      </w:pPr>
    </w:p>
    <w:tbl>
      <w:tblPr>
        <w:tblStyle w:val="Tabladecuadrcula4-nfasis211"/>
        <w:tblW w:w="10060" w:type="dxa"/>
        <w:tblLook w:val="04A0" w:firstRow="1" w:lastRow="0" w:firstColumn="1" w:lastColumn="0" w:noHBand="0" w:noVBand="1"/>
      </w:tblPr>
      <w:tblGrid>
        <w:gridCol w:w="3397"/>
        <w:gridCol w:w="6663"/>
      </w:tblGrid>
      <w:tr w:rsidR="0020644B" w:rsidRPr="0089139F" w14:paraId="7DC4447C" w14:textId="77777777" w:rsidTr="003A11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325A2141" w14:textId="77777777" w:rsidR="0020644B" w:rsidRPr="0089139F" w:rsidRDefault="0020644B" w:rsidP="0020644B">
            <w:pPr>
              <w:spacing w:line="360" w:lineRule="auto"/>
              <w:jc w:val="center"/>
              <w:rPr>
                <w:rFonts w:ascii="Noto Sans" w:hAnsi="Noto Sans" w:cs="Noto Sans"/>
                <w:b w:val="0"/>
                <w:sz w:val="22"/>
                <w:szCs w:val="22"/>
              </w:rPr>
            </w:pPr>
            <w:r w:rsidRPr="0089139F">
              <w:rPr>
                <w:rFonts w:ascii="Noto Sans" w:hAnsi="Noto Sans" w:cs="Noto Sans"/>
                <w:sz w:val="22"/>
                <w:szCs w:val="22"/>
              </w:rPr>
              <w:t>Unidad Administrativa Responsable</w:t>
            </w:r>
          </w:p>
        </w:tc>
        <w:tc>
          <w:tcPr>
            <w:tcW w:w="6663" w:type="dxa"/>
          </w:tcPr>
          <w:p w14:paraId="46BA8D1C" w14:textId="77777777" w:rsidR="0020644B" w:rsidRPr="0089139F" w:rsidRDefault="0020644B" w:rsidP="0020644B">
            <w:pPr>
              <w:spacing w:line="360" w:lineRule="auto"/>
              <w:jc w:val="center"/>
              <w:cnfStyle w:val="100000000000" w:firstRow="1" w:lastRow="0" w:firstColumn="0" w:lastColumn="0" w:oddVBand="0" w:evenVBand="0" w:oddHBand="0" w:evenHBand="0" w:firstRowFirstColumn="0" w:firstRowLastColumn="0" w:lastRowFirstColumn="0" w:lastRowLastColumn="0"/>
              <w:rPr>
                <w:rFonts w:ascii="Noto Sans" w:hAnsi="Noto Sans" w:cs="Noto Sans"/>
                <w:b w:val="0"/>
                <w:sz w:val="22"/>
                <w:szCs w:val="22"/>
              </w:rPr>
            </w:pPr>
            <w:r w:rsidRPr="0089139F">
              <w:rPr>
                <w:rFonts w:ascii="Noto Sans" w:hAnsi="Noto Sans" w:cs="Noto Sans"/>
                <w:sz w:val="22"/>
                <w:szCs w:val="22"/>
              </w:rPr>
              <w:t>Funciones  en la operación del programa</w:t>
            </w:r>
          </w:p>
        </w:tc>
      </w:tr>
      <w:tr w:rsidR="0020644B" w:rsidRPr="0089139F" w14:paraId="6F184153" w14:textId="77777777" w:rsidTr="008913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14:paraId="6D8436AA" w14:textId="77777777" w:rsidR="0020644B" w:rsidRPr="0089139F" w:rsidRDefault="0020644B" w:rsidP="0020644B">
            <w:pPr>
              <w:spacing w:line="360" w:lineRule="auto"/>
              <w:jc w:val="both"/>
              <w:rPr>
                <w:rFonts w:ascii="Noto Sans" w:hAnsi="Noto Sans" w:cs="Noto Sans"/>
                <w:sz w:val="22"/>
                <w:szCs w:val="22"/>
              </w:rPr>
            </w:pPr>
            <w:r w:rsidRPr="0089139F">
              <w:rPr>
                <w:rFonts w:ascii="Noto Sans" w:hAnsi="Noto Sans" w:cs="Noto Sans"/>
                <w:sz w:val="22"/>
                <w:szCs w:val="22"/>
              </w:rPr>
              <w:t>Dirección General de Epidemiología</w:t>
            </w:r>
          </w:p>
        </w:tc>
        <w:tc>
          <w:tcPr>
            <w:tcW w:w="6663" w:type="dxa"/>
            <w:shd w:val="clear" w:color="auto" w:fill="auto"/>
          </w:tcPr>
          <w:p w14:paraId="04320E13" w14:textId="77777777" w:rsidR="0020644B" w:rsidRPr="0089139F" w:rsidRDefault="0020644B" w:rsidP="0020644B">
            <w:pPr>
              <w:numPr>
                <w:ilvl w:val="0"/>
                <w:numId w:val="9"/>
              </w:numPr>
              <w:spacing w:line="360" w:lineRule="auto"/>
              <w:jc w:val="both"/>
              <w:cnfStyle w:val="000000100000" w:firstRow="0" w:lastRow="0" w:firstColumn="0" w:lastColumn="0" w:oddVBand="0" w:evenVBand="0" w:oddHBand="1" w:evenHBand="0" w:firstRowFirstColumn="0" w:firstRowLastColumn="0" w:lastRowFirstColumn="0" w:lastRowLastColumn="0"/>
              <w:rPr>
                <w:rFonts w:ascii="Noto Sans" w:hAnsi="Noto Sans" w:cs="Noto Sans"/>
                <w:sz w:val="22"/>
                <w:szCs w:val="22"/>
              </w:rPr>
            </w:pPr>
            <w:r w:rsidRPr="0089139F">
              <w:rPr>
                <w:rFonts w:ascii="Noto Sans" w:hAnsi="Noto Sans" w:cs="Noto Sans"/>
                <w:sz w:val="22"/>
                <w:szCs w:val="22"/>
              </w:rPr>
              <w:t>Todas aquellas acciones de rectoría orientadas a la vigilancia epidemiológica inscritas en los Programas de Acción Específicos.</w:t>
            </w:r>
          </w:p>
          <w:p w14:paraId="0F529B30" w14:textId="77777777" w:rsidR="0020644B" w:rsidRPr="0089139F" w:rsidRDefault="0020644B" w:rsidP="0020644B">
            <w:pPr>
              <w:numPr>
                <w:ilvl w:val="0"/>
                <w:numId w:val="9"/>
              </w:numPr>
              <w:spacing w:line="360" w:lineRule="auto"/>
              <w:jc w:val="both"/>
              <w:cnfStyle w:val="000000100000" w:firstRow="0" w:lastRow="0" w:firstColumn="0" w:lastColumn="0" w:oddVBand="0" w:evenVBand="0" w:oddHBand="1" w:evenHBand="0" w:firstRowFirstColumn="0" w:firstRowLastColumn="0" w:lastRowFirstColumn="0" w:lastRowLastColumn="0"/>
              <w:rPr>
                <w:rFonts w:ascii="Noto Sans" w:hAnsi="Noto Sans" w:cs="Noto Sans"/>
                <w:sz w:val="22"/>
                <w:szCs w:val="22"/>
              </w:rPr>
            </w:pPr>
            <w:r w:rsidRPr="0089139F">
              <w:rPr>
                <w:rFonts w:ascii="Noto Sans" w:hAnsi="Noto Sans" w:cs="Noto Sans"/>
                <w:sz w:val="22"/>
                <w:szCs w:val="22"/>
              </w:rPr>
              <w:t>Todas aquellas acciones de seguimiento financiero y de cumplimiento de metas y compromisos contraídos por los beneficiarios del programa.</w:t>
            </w:r>
          </w:p>
        </w:tc>
      </w:tr>
      <w:tr w:rsidR="0020644B" w:rsidRPr="0089139F" w14:paraId="02F6D7AF" w14:textId="77777777" w:rsidTr="003A11A3">
        <w:tc>
          <w:tcPr>
            <w:cnfStyle w:val="001000000000" w:firstRow="0" w:lastRow="0" w:firstColumn="1" w:lastColumn="0" w:oddVBand="0" w:evenVBand="0" w:oddHBand="0" w:evenHBand="0" w:firstRowFirstColumn="0" w:firstRowLastColumn="0" w:lastRowFirstColumn="0" w:lastRowLastColumn="0"/>
            <w:tcW w:w="3397" w:type="dxa"/>
          </w:tcPr>
          <w:p w14:paraId="108EF289" w14:textId="77777777" w:rsidR="0020644B" w:rsidRPr="0089139F" w:rsidRDefault="0020644B" w:rsidP="0020644B">
            <w:pPr>
              <w:spacing w:line="360" w:lineRule="auto"/>
              <w:jc w:val="both"/>
              <w:rPr>
                <w:rFonts w:ascii="Noto Sans" w:hAnsi="Noto Sans" w:cs="Noto Sans"/>
                <w:sz w:val="22"/>
                <w:szCs w:val="22"/>
              </w:rPr>
            </w:pPr>
            <w:r w:rsidRPr="0089139F">
              <w:rPr>
                <w:rFonts w:ascii="Noto Sans" w:hAnsi="Noto Sans" w:cs="Noto Sans"/>
                <w:sz w:val="22"/>
                <w:szCs w:val="22"/>
              </w:rPr>
              <w:t>Centro Nacional de Programas Preventivos y Control de Enfermedades</w:t>
            </w:r>
          </w:p>
        </w:tc>
        <w:tc>
          <w:tcPr>
            <w:tcW w:w="6663" w:type="dxa"/>
          </w:tcPr>
          <w:p w14:paraId="56FB1C1A" w14:textId="77777777" w:rsidR="0020644B" w:rsidRPr="0089139F" w:rsidRDefault="0020644B" w:rsidP="0020644B">
            <w:pPr>
              <w:numPr>
                <w:ilvl w:val="0"/>
                <w:numId w:val="10"/>
              </w:numPr>
              <w:spacing w:line="360" w:lineRule="auto"/>
              <w:jc w:val="both"/>
              <w:cnfStyle w:val="000000000000" w:firstRow="0" w:lastRow="0" w:firstColumn="0" w:lastColumn="0" w:oddVBand="0" w:evenVBand="0" w:oddHBand="0" w:evenHBand="0" w:firstRowFirstColumn="0" w:firstRowLastColumn="0" w:lastRowFirstColumn="0" w:lastRowLastColumn="0"/>
              <w:rPr>
                <w:rFonts w:ascii="Noto Sans" w:hAnsi="Noto Sans" w:cs="Noto Sans"/>
                <w:sz w:val="22"/>
                <w:szCs w:val="22"/>
              </w:rPr>
            </w:pPr>
            <w:r w:rsidRPr="0089139F">
              <w:rPr>
                <w:rFonts w:ascii="Noto Sans" w:hAnsi="Noto Sans" w:cs="Noto Sans"/>
                <w:sz w:val="22"/>
                <w:szCs w:val="22"/>
              </w:rPr>
              <w:t>Todas aquellas acciones de rectoría orientadas a la prevención y control de enfermedades inscritas en los Programas de Acción Específicos.</w:t>
            </w:r>
          </w:p>
          <w:p w14:paraId="7A720355" w14:textId="77777777" w:rsidR="0020644B" w:rsidRPr="0089139F" w:rsidRDefault="0020644B" w:rsidP="0020644B">
            <w:pPr>
              <w:numPr>
                <w:ilvl w:val="0"/>
                <w:numId w:val="10"/>
              </w:numPr>
              <w:spacing w:line="360" w:lineRule="auto"/>
              <w:jc w:val="both"/>
              <w:cnfStyle w:val="000000000000" w:firstRow="0" w:lastRow="0" w:firstColumn="0" w:lastColumn="0" w:oddVBand="0" w:evenVBand="0" w:oddHBand="0" w:evenHBand="0" w:firstRowFirstColumn="0" w:firstRowLastColumn="0" w:lastRowFirstColumn="0" w:lastRowLastColumn="0"/>
              <w:rPr>
                <w:rFonts w:ascii="Noto Sans" w:hAnsi="Noto Sans" w:cs="Noto Sans"/>
                <w:sz w:val="22"/>
                <w:szCs w:val="22"/>
              </w:rPr>
            </w:pPr>
            <w:r w:rsidRPr="0089139F">
              <w:rPr>
                <w:rFonts w:ascii="Noto Sans" w:hAnsi="Noto Sans" w:cs="Noto Sans"/>
                <w:sz w:val="22"/>
                <w:szCs w:val="22"/>
              </w:rPr>
              <w:t>Todas aquellas acciones de seguimiento financiero y de cumplimiento de metas y compromisos contraídos por los beneficiarios del programa</w:t>
            </w:r>
          </w:p>
        </w:tc>
      </w:tr>
    </w:tbl>
    <w:p w14:paraId="52BCF52B" w14:textId="77777777" w:rsidR="0020644B" w:rsidRPr="0089139F" w:rsidRDefault="0020644B" w:rsidP="0020644B">
      <w:pPr>
        <w:keepNext/>
        <w:spacing w:before="240" w:after="120" w:line="360" w:lineRule="auto"/>
        <w:outlineLvl w:val="3"/>
        <w:rPr>
          <w:rFonts w:ascii="Noto Sans" w:eastAsia="Century Gothic" w:hAnsi="Noto Sans" w:cs="Noto Sans"/>
          <w:bCs/>
          <w:sz w:val="22"/>
          <w:szCs w:val="22"/>
        </w:rPr>
      </w:pPr>
    </w:p>
    <w:p w14:paraId="36164CFD" w14:textId="77777777" w:rsidR="0020644B" w:rsidRPr="0089139F" w:rsidRDefault="0020644B" w:rsidP="0020644B">
      <w:pPr>
        <w:spacing w:line="276" w:lineRule="auto"/>
        <w:jc w:val="both"/>
        <w:rPr>
          <w:rFonts w:ascii="Noto Sans" w:hAnsi="Noto Sans" w:cs="Noto Sans"/>
        </w:rPr>
      </w:pPr>
      <w:r w:rsidRPr="0089139F">
        <w:rPr>
          <w:rFonts w:ascii="Noto Sans" w:hAnsi="Noto Sans" w:cs="Noto Sans"/>
          <w:sz w:val="22"/>
          <w:szCs w:val="22"/>
        </w:rPr>
        <w:t xml:space="preserve">Las acciones de salud a la persona dirigidas a la detección y control en materia de atención médica serán responsabilidad de las instituciones integrantes del sistema público de salud.  </w:t>
      </w:r>
    </w:p>
    <w:p w14:paraId="109452A4" w14:textId="77777777" w:rsidR="0020644B" w:rsidRPr="0089139F" w:rsidRDefault="0020644B" w:rsidP="0020644B">
      <w:pPr>
        <w:spacing w:line="360" w:lineRule="auto"/>
        <w:jc w:val="both"/>
        <w:rPr>
          <w:rFonts w:ascii="Noto Sans" w:hAnsi="Noto Sans" w:cs="Noto Sans"/>
          <w:sz w:val="22"/>
          <w:szCs w:val="22"/>
        </w:rPr>
      </w:pPr>
    </w:p>
    <w:p w14:paraId="2533110E" w14:textId="77777777" w:rsidR="0020644B" w:rsidRPr="0089139F" w:rsidRDefault="0020644B" w:rsidP="0020644B">
      <w:pPr>
        <w:spacing w:line="276" w:lineRule="auto"/>
        <w:jc w:val="both"/>
        <w:rPr>
          <w:rFonts w:ascii="Noto Sans" w:hAnsi="Noto Sans" w:cs="Noto Sans"/>
          <w:sz w:val="22"/>
          <w:szCs w:val="22"/>
        </w:rPr>
      </w:pPr>
      <w:r w:rsidRPr="0089139F">
        <w:rPr>
          <w:rFonts w:ascii="Noto Sans" w:hAnsi="Noto Sans" w:cs="Noto Sans"/>
          <w:sz w:val="22"/>
          <w:szCs w:val="22"/>
        </w:rPr>
        <w:t>El Pp U009 se rige operativamente a través de lo establecido en los programas de acción específicos que se definen a continuación:</w:t>
      </w:r>
    </w:p>
    <w:p w14:paraId="332217C2" w14:textId="77777777" w:rsidR="0020644B" w:rsidRPr="0089139F" w:rsidRDefault="0020644B" w:rsidP="0020644B">
      <w:pPr>
        <w:numPr>
          <w:ilvl w:val="0"/>
          <w:numId w:val="20"/>
        </w:numPr>
        <w:spacing w:line="276" w:lineRule="auto"/>
        <w:jc w:val="both"/>
        <w:rPr>
          <w:rFonts w:ascii="Noto Sans" w:hAnsi="Noto Sans" w:cs="Noto Sans"/>
          <w:sz w:val="22"/>
          <w:szCs w:val="22"/>
        </w:rPr>
      </w:pPr>
      <w:r w:rsidRPr="0089139F">
        <w:rPr>
          <w:rFonts w:ascii="Noto Sans" w:hAnsi="Noto Sans" w:cs="Noto Sans"/>
          <w:sz w:val="22"/>
          <w:szCs w:val="22"/>
        </w:rPr>
        <w:t>Programa de Acción Específico Prevención y Control de Enfermedades Zoonóticas y Emergentes 2020-2024.</w:t>
      </w:r>
    </w:p>
    <w:p w14:paraId="3DF646DE" w14:textId="77777777" w:rsidR="0020644B" w:rsidRPr="0089139F" w:rsidRDefault="0020644B" w:rsidP="0020644B">
      <w:pPr>
        <w:numPr>
          <w:ilvl w:val="0"/>
          <w:numId w:val="20"/>
        </w:numPr>
        <w:spacing w:line="276" w:lineRule="auto"/>
        <w:jc w:val="both"/>
        <w:rPr>
          <w:rFonts w:ascii="Noto Sans" w:hAnsi="Noto Sans" w:cs="Noto Sans"/>
          <w:sz w:val="22"/>
          <w:szCs w:val="22"/>
        </w:rPr>
      </w:pPr>
      <w:r w:rsidRPr="0089139F">
        <w:rPr>
          <w:rFonts w:ascii="Noto Sans" w:hAnsi="Noto Sans" w:cs="Noto Sans"/>
          <w:sz w:val="22"/>
          <w:szCs w:val="22"/>
        </w:rPr>
        <w:t>Programa de Acción Específico de Prevención, Detección y Control de las Enfermedades Bucales 2020-2024.</w:t>
      </w:r>
    </w:p>
    <w:p w14:paraId="2C0980E0" w14:textId="77777777" w:rsidR="0020644B" w:rsidRPr="0089139F" w:rsidRDefault="0020644B" w:rsidP="0020644B">
      <w:pPr>
        <w:numPr>
          <w:ilvl w:val="0"/>
          <w:numId w:val="20"/>
        </w:numPr>
        <w:spacing w:line="276" w:lineRule="auto"/>
        <w:jc w:val="both"/>
        <w:rPr>
          <w:rFonts w:ascii="Noto Sans" w:hAnsi="Noto Sans" w:cs="Noto Sans"/>
          <w:sz w:val="22"/>
          <w:szCs w:val="22"/>
        </w:rPr>
      </w:pPr>
      <w:r w:rsidRPr="0089139F">
        <w:rPr>
          <w:rFonts w:ascii="Noto Sans" w:hAnsi="Noto Sans" w:cs="Noto Sans"/>
          <w:sz w:val="22"/>
          <w:szCs w:val="22"/>
        </w:rPr>
        <w:t>Programa de Acción Específico para la Prevención y Control de Enfermedades Respiratorias Crónicas 2020-2024.</w:t>
      </w:r>
    </w:p>
    <w:p w14:paraId="03A1DD22" w14:textId="77777777" w:rsidR="0020644B" w:rsidRPr="0089139F" w:rsidRDefault="0020644B" w:rsidP="0020644B">
      <w:pPr>
        <w:numPr>
          <w:ilvl w:val="0"/>
          <w:numId w:val="20"/>
        </w:numPr>
        <w:spacing w:line="276" w:lineRule="auto"/>
        <w:jc w:val="both"/>
        <w:rPr>
          <w:rFonts w:ascii="Noto Sans" w:hAnsi="Noto Sans" w:cs="Noto Sans"/>
          <w:sz w:val="22"/>
          <w:szCs w:val="22"/>
        </w:rPr>
      </w:pPr>
      <w:r w:rsidRPr="0089139F">
        <w:rPr>
          <w:rFonts w:ascii="Noto Sans" w:hAnsi="Noto Sans" w:cs="Noto Sans"/>
          <w:sz w:val="22"/>
          <w:szCs w:val="22"/>
        </w:rPr>
        <w:t>Programa Nacional de Prevención y Control de las micobacteriosis (Tuberculosis y Lepra) 2019-2024.</w:t>
      </w:r>
    </w:p>
    <w:p w14:paraId="73AD06F6" w14:textId="77777777" w:rsidR="0020644B" w:rsidRPr="0089139F" w:rsidRDefault="0020644B" w:rsidP="0020644B">
      <w:pPr>
        <w:numPr>
          <w:ilvl w:val="0"/>
          <w:numId w:val="20"/>
        </w:numPr>
        <w:spacing w:line="276" w:lineRule="auto"/>
        <w:jc w:val="both"/>
        <w:rPr>
          <w:rFonts w:ascii="Noto Sans" w:hAnsi="Noto Sans" w:cs="Noto Sans"/>
          <w:sz w:val="22"/>
          <w:szCs w:val="22"/>
        </w:rPr>
      </w:pPr>
      <w:r w:rsidRPr="0089139F">
        <w:rPr>
          <w:rFonts w:ascii="Noto Sans" w:hAnsi="Noto Sans" w:cs="Noto Sans"/>
          <w:sz w:val="22"/>
          <w:szCs w:val="22"/>
        </w:rPr>
        <w:t>Programa Nacional de Prevención y Control de Infecciones Respiratorias Agudas (Neumonías, Influenza y COVID-19) 2020-2024.</w:t>
      </w:r>
    </w:p>
    <w:p w14:paraId="4FF1129D" w14:textId="77777777" w:rsidR="0020644B" w:rsidRPr="0089139F" w:rsidRDefault="0020644B" w:rsidP="0020644B">
      <w:pPr>
        <w:numPr>
          <w:ilvl w:val="0"/>
          <w:numId w:val="20"/>
        </w:numPr>
        <w:spacing w:line="276" w:lineRule="auto"/>
        <w:jc w:val="both"/>
        <w:rPr>
          <w:rFonts w:ascii="Noto Sans" w:hAnsi="Noto Sans" w:cs="Noto Sans"/>
          <w:sz w:val="22"/>
          <w:szCs w:val="22"/>
        </w:rPr>
      </w:pPr>
      <w:r w:rsidRPr="0089139F">
        <w:rPr>
          <w:rFonts w:ascii="Noto Sans" w:hAnsi="Noto Sans" w:cs="Noto Sans"/>
          <w:sz w:val="22"/>
          <w:szCs w:val="22"/>
        </w:rPr>
        <w:t>Programa de Acción Específico en Atención al Envejecimiento 2020-2024.</w:t>
      </w:r>
    </w:p>
    <w:p w14:paraId="6E63E5A0" w14:textId="77777777" w:rsidR="0020644B" w:rsidRPr="0089139F" w:rsidRDefault="0020644B" w:rsidP="0020644B">
      <w:pPr>
        <w:numPr>
          <w:ilvl w:val="0"/>
          <w:numId w:val="20"/>
        </w:numPr>
        <w:spacing w:line="276" w:lineRule="auto"/>
        <w:jc w:val="both"/>
        <w:rPr>
          <w:rFonts w:ascii="Noto Sans" w:hAnsi="Noto Sans" w:cs="Noto Sans"/>
          <w:sz w:val="22"/>
          <w:szCs w:val="22"/>
        </w:rPr>
      </w:pPr>
      <w:r w:rsidRPr="0089139F">
        <w:rPr>
          <w:rFonts w:ascii="Noto Sans" w:hAnsi="Noto Sans" w:cs="Noto Sans"/>
          <w:sz w:val="22"/>
          <w:szCs w:val="22"/>
        </w:rPr>
        <w:t>Programa de Prevención y Control de Enfermedades Transmitidas por Vectores e Intoxicación por Veneno de Artrópodos 2020-2024.</w:t>
      </w:r>
    </w:p>
    <w:p w14:paraId="096D2E1A" w14:textId="77777777" w:rsidR="0020644B" w:rsidRPr="0089139F" w:rsidRDefault="0020644B" w:rsidP="0020644B">
      <w:pPr>
        <w:numPr>
          <w:ilvl w:val="0"/>
          <w:numId w:val="20"/>
        </w:numPr>
        <w:spacing w:line="276" w:lineRule="auto"/>
        <w:jc w:val="both"/>
        <w:rPr>
          <w:rFonts w:ascii="Noto Sans" w:hAnsi="Noto Sans" w:cs="Noto Sans"/>
          <w:sz w:val="22"/>
          <w:szCs w:val="22"/>
        </w:rPr>
      </w:pPr>
      <w:r w:rsidRPr="0089139F">
        <w:rPr>
          <w:rFonts w:ascii="Noto Sans" w:hAnsi="Noto Sans" w:cs="Noto Sans"/>
          <w:sz w:val="22"/>
          <w:szCs w:val="22"/>
        </w:rPr>
        <w:t>Programa de Acción Específico Enfermedades Cardiometabólicas 2020-2024.</w:t>
      </w:r>
    </w:p>
    <w:p w14:paraId="3C8E6267" w14:textId="77777777" w:rsidR="0020644B" w:rsidRPr="0089139F" w:rsidRDefault="0020644B" w:rsidP="0020644B">
      <w:pPr>
        <w:numPr>
          <w:ilvl w:val="0"/>
          <w:numId w:val="20"/>
        </w:numPr>
        <w:spacing w:line="276" w:lineRule="auto"/>
        <w:jc w:val="both"/>
        <w:rPr>
          <w:rFonts w:ascii="Noto Sans" w:hAnsi="Noto Sans" w:cs="Noto Sans"/>
          <w:sz w:val="22"/>
          <w:szCs w:val="22"/>
        </w:rPr>
      </w:pPr>
      <w:r w:rsidRPr="0089139F">
        <w:rPr>
          <w:rFonts w:ascii="Noto Sans" w:hAnsi="Noto Sans" w:cs="Noto Sans"/>
          <w:sz w:val="22"/>
          <w:szCs w:val="22"/>
        </w:rPr>
        <w:t>Programa de Acción Específico Prevención y Control de Enfermedades Diarreicas Agudas 2020-2024.</w:t>
      </w:r>
    </w:p>
    <w:p w14:paraId="6F6C4BBE" w14:textId="77777777" w:rsidR="0020644B" w:rsidRPr="0089139F" w:rsidRDefault="0020644B" w:rsidP="0020644B">
      <w:pPr>
        <w:spacing w:line="360" w:lineRule="auto"/>
        <w:jc w:val="both"/>
        <w:rPr>
          <w:rFonts w:ascii="Noto Sans" w:hAnsi="Noto Sans" w:cs="Noto Sans"/>
          <w:sz w:val="22"/>
          <w:szCs w:val="22"/>
        </w:rPr>
      </w:pPr>
    </w:p>
    <w:tbl>
      <w:tblPr>
        <w:tblpPr w:leftFromText="180" w:rightFromText="180" w:vertAnchor="text" w:horzAnchor="page" w:tblpX="1" w:tblpY="-1573"/>
        <w:tblW w:w="20407" w:type="dxa"/>
        <w:tblLook w:val="04A0" w:firstRow="1" w:lastRow="0" w:firstColumn="1" w:lastColumn="0" w:noHBand="0" w:noVBand="1"/>
      </w:tblPr>
      <w:tblGrid>
        <w:gridCol w:w="1367"/>
        <w:gridCol w:w="1419"/>
        <w:gridCol w:w="1884"/>
        <w:gridCol w:w="814"/>
        <w:gridCol w:w="1021"/>
        <w:gridCol w:w="1057"/>
        <w:gridCol w:w="1073"/>
        <w:gridCol w:w="1086"/>
        <w:gridCol w:w="10686"/>
      </w:tblGrid>
      <w:tr w:rsidR="00D849B5" w:rsidRPr="0089139F" w14:paraId="240DF258" w14:textId="77777777" w:rsidTr="00D849B5">
        <w:trPr>
          <w:trHeight w:val="204"/>
        </w:trPr>
        <w:tc>
          <w:tcPr>
            <w:tcW w:w="20407" w:type="dxa"/>
            <w:gridSpan w:val="9"/>
            <w:tcBorders>
              <w:top w:val="single" w:sz="4" w:space="0" w:color="000000"/>
              <w:left w:val="single" w:sz="4" w:space="0" w:color="000000"/>
              <w:bottom w:val="single" w:sz="4" w:space="0" w:color="000000"/>
              <w:right w:val="single" w:sz="4" w:space="0" w:color="000000"/>
            </w:tcBorders>
            <w:shd w:val="clear" w:color="000000" w:fill="000080"/>
            <w:vAlign w:val="bottom"/>
            <w:hideMark/>
          </w:tcPr>
          <w:p w14:paraId="7C675AA9" w14:textId="77777777" w:rsidR="00D849B5" w:rsidRPr="0089139F" w:rsidRDefault="00D849B5" w:rsidP="00D849B5">
            <w:pPr>
              <w:ind w:right="6125"/>
              <w:jc w:val="center"/>
              <w:rPr>
                <w:rFonts w:ascii="Noto Sans" w:eastAsia="Times New Roman" w:hAnsi="Noto Sans" w:cs="Noto Sans"/>
                <w:b/>
                <w:bCs/>
                <w:color w:val="FFFFFF"/>
                <w:sz w:val="16"/>
                <w:szCs w:val="16"/>
                <w:lang w:val="en-US" w:eastAsia="en-US"/>
              </w:rPr>
            </w:pPr>
            <w:r w:rsidRPr="0089139F">
              <w:rPr>
                <w:rFonts w:ascii="Noto Sans" w:eastAsia="Times New Roman" w:hAnsi="Noto Sans" w:cs="Noto Sans"/>
                <w:b/>
                <w:bCs/>
                <w:color w:val="FFFFFF"/>
                <w:sz w:val="16"/>
                <w:szCs w:val="16"/>
                <w:lang w:val="en-US" w:eastAsia="en-US"/>
              </w:rPr>
              <w:t>Fin</w:t>
            </w:r>
          </w:p>
        </w:tc>
      </w:tr>
      <w:tr w:rsidR="00D849B5" w:rsidRPr="0089139F" w14:paraId="6AC7DA41" w14:textId="77777777" w:rsidTr="00D849B5">
        <w:trPr>
          <w:trHeight w:val="204"/>
        </w:trPr>
        <w:tc>
          <w:tcPr>
            <w:tcW w:w="4670" w:type="dxa"/>
            <w:gridSpan w:val="3"/>
            <w:tcBorders>
              <w:top w:val="single" w:sz="4" w:space="0" w:color="000000"/>
              <w:left w:val="single" w:sz="4" w:space="0" w:color="000000"/>
              <w:bottom w:val="single" w:sz="4" w:space="0" w:color="000000"/>
              <w:right w:val="single" w:sz="4" w:space="0" w:color="000000"/>
            </w:tcBorders>
            <w:shd w:val="clear" w:color="000000" w:fill="99CCFF"/>
            <w:vAlign w:val="bottom"/>
            <w:hideMark/>
          </w:tcPr>
          <w:p w14:paraId="4616D1A4"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Objetivo</w:t>
            </w:r>
          </w:p>
        </w:tc>
        <w:tc>
          <w:tcPr>
            <w:tcW w:w="2892"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747558D7"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Orden</w:t>
            </w:r>
          </w:p>
        </w:tc>
        <w:tc>
          <w:tcPr>
            <w:tcW w:w="12845"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54DE2F42"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Supuestos</w:t>
            </w:r>
          </w:p>
        </w:tc>
      </w:tr>
      <w:tr w:rsidR="00D849B5" w:rsidRPr="0089139F" w14:paraId="1043E0D3" w14:textId="77777777" w:rsidTr="00D849B5">
        <w:trPr>
          <w:trHeight w:val="1590"/>
        </w:trPr>
        <w:tc>
          <w:tcPr>
            <w:tcW w:w="4670"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00CE34E"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Contribuir al bienestar social e igualdad mediante el ingreso a tratamiento oportuno y específico de casos nuevos de enfermedades infecciosas y transmisibles que están bajo la responsabilidad del Centro Nacional de Programas Preventivos y Control de Enfermedades (CENAPRECE) como son: Tuberculosis, lepra, dengue, paludismo, chagas, leshmaniasis, picadura de alacrán, mordedura por perro y otras especies, en apoyo a las poblaciones vulnerables de las entidades federativas.</w:t>
            </w:r>
          </w:p>
        </w:tc>
        <w:tc>
          <w:tcPr>
            <w:tcW w:w="2892" w:type="dxa"/>
            <w:gridSpan w:val="3"/>
            <w:tcBorders>
              <w:top w:val="single" w:sz="4" w:space="0" w:color="000000"/>
              <w:left w:val="nil"/>
              <w:bottom w:val="single" w:sz="4" w:space="0" w:color="000000"/>
              <w:right w:val="single" w:sz="4" w:space="0" w:color="000000"/>
            </w:tcBorders>
            <w:shd w:val="clear" w:color="auto" w:fill="auto"/>
            <w:vAlign w:val="bottom"/>
            <w:hideMark/>
          </w:tcPr>
          <w:p w14:paraId="5978EC32" w14:textId="77777777" w:rsidR="00D849B5" w:rsidRPr="0089139F" w:rsidRDefault="00D849B5" w:rsidP="00D849B5">
            <w:pPr>
              <w:jc w:val="cente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1</w:t>
            </w:r>
          </w:p>
        </w:tc>
        <w:tc>
          <w:tcPr>
            <w:tcW w:w="12845" w:type="dxa"/>
            <w:gridSpan w:val="3"/>
            <w:tcBorders>
              <w:top w:val="single" w:sz="4" w:space="0" w:color="000000"/>
              <w:left w:val="nil"/>
              <w:bottom w:val="single" w:sz="4" w:space="0" w:color="000000"/>
              <w:right w:val="single" w:sz="4" w:space="0" w:color="000000"/>
            </w:tcBorders>
            <w:shd w:val="clear" w:color="auto" w:fill="auto"/>
            <w:vAlign w:val="bottom"/>
            <w:hideMark/>
          </w:tcPr>
          <w:p w14:paraId="0F0A113C"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Ante la presencia de casos nuevos de enfermedades infecciosas y transmisibles, la población informada acude a la unidad médica para recibir atención con tratamiento específico</w:t>
            </w:r>
          </w:p>
        </w:tc>
      </w:tr>
      <w:tr w:rsidR="00D849B5" w:rsidRPr="0089139F" w14:paraId="304A320E" w14:textId="77777777" w:rsidTr="00D849B5">
        <w:trPr>
          <w:trHeight w:val="408"/>
        </w:trPr>
        <w:tc>
          <w:tcPr>
            <w:tcW w:w="1367" w:type="dxa"/>
            <w:tcBorders>
              <w:top w:val="nil"/>
              <w:left w:val="single" w:sz="4" w:space="0" w:color="000000"/>
              <w:bottom w:val="single" w:sz="4" w:space="0" w:color="000000"/>
              <w:right w:val="single" w:sz="4" w:space="0" w:color="000000"/>
            </w:tcBorders>
            <w:shd w:val="clear" w:color="000000" w:fill="FFFFCC"/>
            <w:vAlign w:val="bottom"/>
            <w:hideMark/>
          </w:tcPr>
          <w:p w14:paraId="1714B0B5"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Indicador</w:t>
            </w:r>
          </w:p>
        </w:tc>
        <w:tc>
          <w:tcPr>
            <w:tcW w:w="1419" w:type="dxa"/>
            <w:tcBorders>
              <w:top w:val="nil"/>
              <w:left w:val="nil"/>
              <w:bottom w:val="single" w:sz="4" w:space="0" w:color="000000"/>
              <w:right w:val="single" w:sz="4" w:space="0" w:color="000000"/>
            </w:tcBorders>
            <w:shd w:val="clear" w:color="000000" w:fill="FFFFCC"/>
            <w:vAlign w:val="bottom"/>
            <w:hideMark/>
          </w:tcPr>
          <w:p w14:paraId="0FCBD01F"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Definición</w:t>
            </w:r>
          </w:p>
        </w:tc>
        <w:tc>
          <w:tcPr>
            <w:tcW w:w="1884" w:type="dxa"/>
            <w:tcBorders>
              <w:top w:val="nil"/>
              <w:left w:val="nil"/>
              <w:bottom w:val="single" w:sz="4" w:space="0" w:color="000000"/>
              <w:right w:val="single" w:sz="4" w:space="0" w:color="000000"/>
            </w:tcBorders>
            <w:shd w:val="clear" w:color="000000" w:fill="FFFFCC"/>
            <w:vAlign w:val="bottom"/>
            <w:hideMark/>
          </w:tcPr>
          <w:p w14:paraId="18FBE9DD"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Método de Calculo</w:t>
            </w:r>
          </w:p>
        </w:tc>
        <w:tc>
          <w:tcPr>
            <w:tcW w:w="814" w:type="dxa"/>
            <w:tcBorders>
              <w:top w:val="nil"/>
              <w:left w:val="nil"/>
              <w:bottom w:val="single" w:sz="4" w:space="0" w:color="000000"/>
              <w:right w:val="single" w:sz="4" w:space="0" w:color="000000"/>
            </w:tcBorders>
            <w:shd w:val="clear" w:color="000000" w:fill="FFFFCC"/>
            <w:vAlign w:val="bottom"/>
            <w:hideMark/>
          </w:tcPr>
          <w:p w14:paraId="13478A65" w14:textId="77777777" w:rsidR="00D849B5" w:rsidRPr="0089139F" w:rsidRDefault="00D849B5" w:rsidP="00D849B5">
            <w:pPr>
              <w:jc w:val="center"/>
              <w:rPr>
                <w:rFonts w:ascii="Noto Sans" w:eastAsia="Times New Roman" w:hAnsi="Noto Sans" w:cs="Noto Sans"/>
                <w:b/>
                <w:bCs/>
                <w:color w:val="000000"/>
                <w:sz w:val="16"/>
                <w:szCs w:val="16"/>
                <w:lang w:val="es-MX" w:eastAsia="en-US"/>
              </w:rPr>
            </w:pPr>
            <w:r w:rsidRPr="0089139F">
              <w:rPr>
                <w:rFonts w:ascii="Noto Sans" w:eastAsia="Times New Roman" w:hAnsi="Noto Sans" w:cs="Noto Sans"/>
                <w:b/>
                <w:bCs/>
                <w:color w:val="000000"/>
                <w:sz w:val="16"/>
                <w:szCs w:val="16"/>
                <w:lang w:val="es-MX" w:eastAsia="en-US"/>
              </w:rPr>
              <w:t>Tipo de Valor de la Meta</w:t>
            </w:r>
          </w:p>
        </w:tc>
        <w:tc>
          <w:tcPr>
            <w:tcW w:w="1021" w:type="dxa"/>
            <w:tcBorders>
              <w:top w:val="nil"/>
              <w:left w:val="nil"/>
              <w:bottom w:val="single" w:sz="4" w:space="0" w:color="000000"/>
              <w:right w:val="single" w:sz="4" w:space="0" w:color="000000"/>
            </w:tcBorders>
            <w:shd w:val="clear" w:color="000000" w:fill="FFFFCC"/>
            <w:vAlign w:val="bottom"/>
            <w:hideMark/>
          </w:tcPr>
          <w:p w14:paraId="3A9506A1"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Unidad de Medida</w:t>
            </w:r>
          </w:p>
        </w:tc>
        <w:tc>
          <w:tcPr>
            <w:tcW w:w="1057" w:type="dxa"/>
            <w:tcBorders>
              <w:top w:val="nil"/>
              <w:left w:val="nil"/>
              <w:bottom w:val="single" w:sz="4" w:space="0" w:color="000000"/>
              <w:right w:val="single" w:sz="4" w:space="0" w:color="000000"/>
            </w:tcBorders>
            <w:shd w:val="clear" w:color="000000" w:fill="FFFFCC"/>
            <w:vAlign w:val="bottom"/>
            <w:hideMark/>
          </w:tcPr>
          <w:p w14:paraId="022C2256"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Tipo de Indicador</w:t>
            </w:r>
          </w:p>
        </w:tc>
        <w:tc>
          <w:tcPr>
            <w:tcW w:w="1073" w:type="dxa"/>
            <w:tcBorders>
              <w:top w:val="nil"/>
              <w:left w:val="nil"/>
              <w:bottom w:val="single" w:sz="4" w:space="0" w:color="000000"/>
              <w:right w:val="single" w:sz="4" w:space="0" w:color="000000"/>
            </w:tcBorders>
            <w:shd w:val="clear" w:color="000000" w:fill="FFFFCC"/>
            <w:vAlign w:val="bottom"/>
            <w:hideMark/>
          </w:tcPr>
          <w:p w14:paraId="722DFA88"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Dimensión del Indicador</w:t>
            </w:r>
          </w:p>
        </w:tc>
        <w:tc>
          <w:tcPr>
            <w:tcW w:w="1086" w:type="dxa"/>
            <w:tcBorders>
              <w:top w:val="nil"/>
              <w:left w:val="nil"/>
              <w:bottom w:val="single" w:sz="4" w:space="0" w:color="000000"/>
              <w:right w:val="single" w:sz="4" w:space="0" w:color="000000"/>
            </w:tcBorders>
            <w:shd w:val="clear" w:color="000000" w:fill="FFFFCC"/>
            <w:vAlign w:val="bottom"/>
            <w:hideMark/>
          </w:tcPr>
          <w:p w14:paraId="68F12393"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Frecuencia de Medición</w:t>
            </w:r>
          </w:p>
        </w:tc>
        <w:tc>
          <w:tcPr>
            <w:tcW w:w="10686" w:type="dxa"/>
            <w:tcBorders>
              <w:top w:val="nil"/>
              <w:left w:val="nil"/>
              <w:bottom w:val="single" w:sz="4" w:space="0" w:color="000000"/>
              <w:right w:val="single" w:sz="4" w:space="0" w:color="000000"/>
            </w:tcBorders>
            <w:shd w:val="clear" w:color="000000" w:fill="FFFFCC"/>
            <w:vAlign w:val="bottom"/>
            <w:hideMark/>
          </w:tcPr>
          <w:p w14:paraId="05EEAC07"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Medios de Verificación</w:t>
            </w:r>
          </w:p>
        </w:tc>
      </w:tr>
      <w:tr w:rsidR="00D849B5" w:rsidRPr="0089139F" w14:paraId="00FA4172" w14:textId="77777777" w:rsidTr="00D849B5">
        <w:trPr>
          <w:trHeight w:val="6120"/>
        </w:trPr>
        <w:tc>
          <w:tcPr>
            <w:tcW w:w="1367" w:type="dxa"/>
            <w:tcBorders>
              <w:top w:val="nil"/>
              <w:left w:val="single" w:sz="4" w:space="0" w:color="000000"/>
              <w:bottom w:val="single" w:sz="4" w:space="0" w:color="000000"/>
              <w:right w:val="single" w:sz="4" w:space="0" w:color="000000"/>
            </w:tcBorders>
            <w:shd w:val="clear" w:color="000000" w:fill="FFFFFF"/>
            <w:vAlign w:val="bottom"/>
            <w:hideMark/>
          </w:tcPr>
          <w:p w14:paraId="296F0EB1"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Cobertura de tratamiento de casos nuevos de enfermedades infecciosas y transmisibles</w:t>
            </w:r>
          </w:p>
        </w:tc>
        <w:tc>
          <w:tcPr>
            <w:tcW w:w="1419" w:type="dxa"/>
            <w:tcBorders>
              <w:top w:val="nil"/>
              <w:left w:val="nil"/>
              <w:bottom w:val="single" w:sz="4" w:space="0" w:color="000000"/>
              <w:right w:val="single" w:sz="4" w:space="0" w:color="000000"/>
            </w:tcBorders>
            <w:shd w:val="clear" w:color="000000" w:fill="FFFFFF"/>
            <w:vAlign w:val="bottom"/>
            <w:hideMark/>
          </w:tcPr>
          <w:p w14:paraId="24935A58"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El indicador mide el número de casos nuevos de enfermedades infecciosas y transmisibles que ingresan a tratamiento específico y que están bajo la responsabilidad del Centro Nacional de Programas Preventivos y Control de Enfermedades (CENAPRECE) como son: Tuberculosis, dengue, chagas, leishmaniasis, picadura de alacrán, mordedura por perro y otras especies. y para 2 enfermedades en búsqueda de su eliminación como problema de salud pública en México como son el paludismo y la lepra, la garantía de los esquemas de tratamiento al 100% de los casos confirmados.</w:t>
            </w:r>
          </w:p>
        </w:tc>
        <w:tc>
          <w:tcPr>
            <w:tcW w:w="1884" w:type="dxa"/>
            <w:tcBorders>
              <w:top w:val="nil"/>
              <w:left w:val="nil"/>
              <w:bottom w:val="single" w:sz="4" w:space="0" w:color="000000"/>
              <w:right w:val="single" w:sz="4" w:space="0" w:color="000000"/>
            </w:tcBorders>
            <w:shd w:val="clear" w:color="000000" w:fill="FFFFFF"/>
            <w:vAlign w:val="bottom"/>
            <w:hideMark/>
          </w:tcPr>
          <w:p w14:paraId="43FDA4BB"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(Número de casos nuevos de enfermedades infecciosas y transmisibles que ingresan a tratamiento específico)/(Número de casos nuevos de enfermedades infecciosas y transmisibles diagnosticados) X 100</w:t>
            </w:r>
          </w:p>
        </w:tc>
        <w:tc>
          <w:tcPr>
            <w:tcW w:w="814" w:type="dxa"/>
            <w:tcBorders>
              <w:top w:val="nil"/>
              <w:left w:val="nil"/>
              <w:bottom w:val="single" w:sz="4" w:space="0" w:color="000000"/>
              <w:right w:val="single" w:sz="4" w:space="0" w:color="000000"/>
            </w:tcBorders>
            <w:shd w:val="clear" w:color="000000" w:fill="FFFFFF"/>
            <w:vAlign w:val="bottom"/>
            <w:hideMark/>
          </w:tcPr>
          <w:p w14:paraId="74A56DB3"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Relativo</w:t>
            </w:r>
          </w:p>
        </w:tc>
        <w:tc>
          <w:tcPr>
            <w:tcW w:w="1021" w:type="dxa"/>
            <w:tcBorders>
              <w:top w:val="nil"/>
              <w:left w:val="nil"/>
              <w:bottom w:val="single" w:sz="4" w:space="0" w:color="000000"/>
              <w:right w:val="single" w:sz="4" w:space="0" w:color="000000"/>
            </w:tcBorders>
            <w:shd w:val="clear" w:color="000000" w:fill="FFFFFF"/>
            <w:vAlign w:val="bottom"/>
            <w:hideMark/>
          </w:tcPr>
          <w:p w14:paraId="096E6F15"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Porcentaje</w:t>
            </w:r>
          </w:p>
        </w:tc>
        <w:tc>
          <w:tcPr>
            <w:tcW w:w="1057" w:type="dxa"/>
            <w:tcBorders>
              <w:top w:val="nil"/>
              <w:left w:val="nil"/>
              <w:bottom w:val="single" w:sz="4" w:space="0" w:color="000000"/>
              <w:right w:val="single" w:sz="4" w:space="0" w:color="000000"/>
            </w:tcBorders>
            <w:shd w:val="clear" w:color="000000" w:fill="FFFFFF"/>
            <w:vAlign w:val="bottom"/>
            <w:hideMark/>
          </w:tcPr>
          <w:p w14:paraId="6CA82043"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Estratégico</w:t>
            </w:r>
          </w:p>
        </w:tc>
        <w:tc>
          <w:tcPr>
            <w:tcW w:w="1073" w:type="dxa"/>
            <w:tcBorders>
              <w:top w:val="nil"/>
              <w:left w:val="nil"/>
              <w:bottom w:val="single" w:sz="4" w:space="0" w:color="000000"/>
              <w:right w:val="single" w:sz="4" w:space="0" w:color="000000"/>
            </w:tcBorders>
            <w:shd w:val="clear" w:color="000000" w:fill="FFFFFF"/>
            <w:vAlign w:val="bottom"/>
            <w:hideMark/>
          </w:tcPr>
          <w:p w14:paraId="08EAADEB"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Eficacia</w:t>
            </w:r>
          </w:p>
        </w:tc>
        <w:tc>
          <w:tcPr>
            <w:tcW w:w="1086" w:type="dxa"/>
            <w:tcBorders>
              <w:top w:val="nil"/>
              <w:left w:val="nil"/>
              <w:bottom w:val="single" w:sz="4" w:space="0" w:color="000000"/>
              <w:right w:val="single" w:sz="4" w:space="0" w:color="000000"/>
            </w:tcBorders>
            <w:shd w:val="clear" w:color="000000" w:fill="FFFFFF"/>
            <w:vAlign w:val="bottom"/>
            <w:hideMark/>
          </w:tcPr>
          <w:p w14:paraId="2E1EC25A"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Trimestral</w:t>
            </w:r>
          </w:p>
        </w:tc>
        <w:tc>
          <w:tcPr>
            <w:tcW w:w="10686" w:type="dxa"/>
            <w:tcBorders>
              <w:top w:val="nil"/>
              <w:left w:val="nil"/>
              <w:bottom w:val="single" w:sz="4" w:space="0" w:color="000000"/>
              <w:right w:val="single" w:sz="4" w:space="0" w:color="000000"/>
            </w:tcBorders>
            <w:shd w:val="clear" w:color="000000" w:fill="FFFFFF"/>
            <w:vAlign w:val="bottom"/>
            <w:hideMark/>
          </w:tcPr>
          <w:p w14:paraId="6D12B017"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(Variable 1 casos nuevos de enfermedades específicas: tuberculosis, lepra, agresiones por perro y otras especies, paludismo, dengue y otras enfermedades transmitidas por vector identificados)/(Variable 2 casos nuevos de enfermedades específicas: tuberculosis, lepra, agresiones por perro y otras especies, paludismo, dengue y otras enfermedades transmitidas por vector que ingresan a tratamiento):http://sinave.gob.mx/;http://www.dgis.salud.gob.mx/contenidos/basesdedatos/acceso_seed.html; Sistema Único Automatizado para la Vigilancia Epidemiológica (SUAVE), http://cenaprece.ecolls.com.mx/</w:t>
            </w:r>
          </w:p>
        </w:tc>
      </w:tr>
      <w:tr w:rsidR="00D849B5" w:rsidRPr="0089139F" w14:paraId="63508E59" w14:textId="77777777" w:rsidTr="00D849B5">
        <w:trPr>
          <w:trHeight w:val="210"/>
        </w:trPr>
        <w:tc>
          <w:tcPr>
            <w:tcW w:w="20407" w:type="dxa"/>
            <w:gridSpan w:val="9"/>
            <w:tcBorders>
              <w:top w:val="single" w:sz="4" w:space="0" w:color="000000"/>
              <w:left w:val="single" w:sz="4" w:space="0" w:color="000000"/>
              <w:bottom w:val="single" w:sz="4" w:space="0" w:color="000000"/>
              <w:right w:val="single" w:sz="4" w:space="0" w:color="000000"/>
            </w:tcBorders>
            <w:shd w:val="clear" w:color="000000" w:fill="000080"/>
            <w:vAlign w:val="bottom"/>
            <w:hideMark/>
          </w:tcPr>
          <w:p w14:paraId="1BAD52DC" w14:textId="77777777" w:rsidR="00D849B5" w:rsidRPr="0089139F" w:rsidRDefault="00D849B5" w:rsidP="00D849B5">
            <w:pPr>
              <w:jc w:val="center"/>
              <w:rPr>
                <w:rFonts w:ascii="Noto Sans" w:eastAsia="Times New Roman" w:hAnsi="Noto Sans" w:cs="Noto Sans"/>
                <w:b/>
                <w:bCs/>
                <w:color w:val="FFFFFF"/>
                <w:sz w:val="16"/>
                <w:szCs w:val="16"/>
                <w:lang w:val="en-US" w:eastAsia="en-US"/>
              </w:rPr>
            </w:pPr>
            <w:r w:rsidRPr="0089139F">
              <w:rPr>
                <w:rFonts w:ascii="Noto Sans" w:eastAsia="Times New Roman" w:hAnsi="Noto Sans" w:cs="Noto Sans"/>
                <w:b/>
                <w:bCs/>
                <w:color w:val="FFFFFF"/>
                <w:sz w:val="16"/>
                <w:szCs w:val="16"/>
                <w:lang w:val="en-US" w:eastAsia="en-US"/>
              </w:rPr>
              <w:t>Propósito</w:t>
            </w:r>
          </w:p>
        </w:tc>
      </w:tr>
      <w:tr w:rsidR="00D849B5" w:rsidRPr="0089139F" w14:paraId="149DA2EB" w14:textId="77777777" w:rsidTr="00D849B5">
        <w:trPr>
          <w:trHeight w:val="210"/>
        </w:trPr>
        <w:tc>
          <w:tcPr>
            <w:tcW w:w="4670" w:type="dxa"/>
            <w:gridSpan w:val="3"/>
            <w:tcBorders>
              <w:top w:val="single" w:sz="4" w:space="0" w:color="000000"/>
              <w:left w:val="single" w:sz="4" w:space="0" w:color="000000"/>
              <w:bottom w:val="single" w:sz="4" w:space="0" w:color="000000"/>
              <w:right w:val="single" w:sz="4" w:space="0" w:color="000000"/>
            </w:tcBorders>
            <w:shd w:val="clear" w:color="000000" w:fill="99CCFF"/>
            <w:vAlign w:val="bottom"/>
            <w:hideMark/>
          </w:tcPr>
          <w:p w14:paraId="2471DC2A"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Objetivo</w:t>
            </w:r>
          </w:p>
        </w:tc>
        <w:tc>
          <w:tcPr>
            <w:tcW w:w="2892"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3F1801BD"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Orden</w:t>
            </w:r>
          </w:p>
        </w:tc>
        <w:tc>
          <w:tcPr>
            <w:tcW w:w="12845"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17077845"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Supuestos</w:t>
            </w:r>
          </w:p>
        </w:tc>
      </w:tr>
      <w:tr w:rsidR="00D849B5" w:rsidRPr="0089139F" w14:paraId="2175E3C4" w14:textId="77777777" w:rsidTr="00D849B5">
        <w:trPr>
          <w:trHeight w:val="840"/>
        </w:trPr>
        <w:tc>
          <w:tcPr>
            <w:tcW w:w="4670"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7E7FDF85"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Otorgar diagnóstico oportuno de enfermedades como Tuberculosis, lepra, dengue, paludismo, chagas, leishmaniasis, picadura de alacrán, y mordedura por perro y otras especies a la población vulnerable en las entidades federativas</w:t>
            </w:r>
          </w:p>
        </w:tc>
        <w:tc>
          <w:tcPr>
            <w:tcW w:w="2892" w:type="dxa"/>
            <w:gridSpan w:val="3"/>
            <w:tcBorders>
              <w:top w:val="single" w:sz="4" w:space="0" w:color="000000"/>
              <w:left w:val="nil"/>
              <w:bottom w:val="single" w:sz="4" w:space="0" w:color="000000"/>
              <w:right w:val="single" w:sz="4" w:space="0" w:color="000000"/>
            </w:tcBorders>
            <w:shd w:val="clear" w:color="auto" w:fill="auto"/>
            <w:vAlign w:val="bottom"/>
            <w:hideMark/>
          </w:tcPr>
          <w:p w14:paraId="0AAEDC78" w14:textId="77777777" w:rsidR="00D849B5" w:rsidRPr="0089139F" w:rsidRDefault="00D849B5" w:rsidP="00D849B5">
            <w:pPr>
              <w:jc w:val="cente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2</w:t>
            </w:r>
          </w:p>
        </w:tc>
        <w:tc>
          <w:tcPr>
            <w:tcW w:w="12845" w:type="dxa"/>
            <w:gridSpan w:val="3"/>
            <w:tcBorders>
              <w:top w:val="single" w:sz="4" w:space="0" w:color="000000"/>
              <w:left w:val="nil"/>
              <w:bottom w:val="single" w:sz="4" w:space="0" w:color="000000"/>
              <w:right w:val="single" w:sz="4" w:space="0" w:color="000000"/>
            </w:tcBorders>
            <w:shd w:val="clear" w:color="auto" w:fill="auto"/>
            <w:vAlign w:val="bottom"/>
            <w:hideMark/>
          </w:tcPr>
          <w:p w14:paraId="714C917A"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Ante la presencia incipiente de signos y síntomas de enfermedades sujetas a vigilancia epidemiológica, el personal de salud cuenta con las herramientas técnico-operativas necesarias para detectarlas y diagnosticarlas</w:t>
            </w:r>
          </w:p>
        </w:tc>
      </w:tr>
      <w:tr w:rsidR="00D849B5" w:rsidRPr="0089139F" w14:paraId="1CD1634C" w14:textId="77777777" w:rsidTr="00D849B5">
        <w:trPr>
          <w:trHeight w:val="408"/>
        </w:trPr>
        <w:tc>
          <w:tcPr>
            <w:tcW w:w="1367" w:type="dxa"/>
            <w:tcBorders>
              <w:top w:val="nil"/>
              <w:left w:val="single" w:sz="4" w:space="0" w:color="000000"/>
              <w:bottom w:val="single" w:sz="4" w:space="0" w:color="000000"/>
              <w:right w:val="single" w:sz="4" w:space="0" w:color="000000"/>
            </w:tcBorders>
            <w:shd w:val="clear" w:color="000000" w:fill="FFFFCC"/>
            <w:vAlign w:val="bottom"/>
            <w:hideMark/>
          </w:tcPr>
          <w:p w14:paraId="42AFA627"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Indicador</w:t>
            </w:r>
          </w:p>
        </w:tc>
        <w:tc>
          <w:tcPr>
            <w:tcW w:w="1419" w:type="dxa"/>
            <w:tcBorders>
              <w:top w:val="nil"/>
              <w:left w:val="nil"/>
              <w:bottom w:val="single" w:sz="4" w:space="0" w:color="000000"/>
              <w:right w:val="single" w:sz="4" w:space="0" w:color="000000"/>
            </w:tcBorders>
            <w:shd w:val="clear" w:color="000000" w:fill="FFFFCC"/>
            <w:vAlign w:val="bottom"/>
            <w:hideMark/>
          </w:tcPr>
          <w:p w14:paraId="6785F8BD"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Definición</w:t>
            </w:r>
          </w:p>
        </w:tc>
        <w:tc>
          <w:tcPr>
            <w:tcW w:w="1884" w:type="dxa"/>
            <w:tcBorders>
              <w:top w:val="nil"/>
              <w:left w:val="nil"/>
              <w:bottom w:val="single" w:sz="4" w:space="0" w:color="000000"/>
              <w:right w:val="single" w:sz="4" w:space="0" w:color="000000"/>
            </w:tcBorders>
            <w:shd w:val="clear" w:color="000000" w:fill="FFFFCC"/>
            <w:vAlign w:val="bottom"/>
            <w:hideMark/>
          </w:tcPr>
          <w:p w14:paraId="19A44AF2"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Método de Calculo</w:t>
            </w:r>
          </w:p>
        </w:tc>
        <w:tc>
          <w:tcPr>
            <w:tcW w:w="814" w:type="dxa"/>
            <w:tcBorders>
              <w:top w:val="nil"/>
              <w:left w:val="nil"/>
              <w:bottom w:val="single" w:sz="4" w:space="0" w:color="000000"/>
              <w:right w:val="single" w:sz="4" w:space="0" w:color="000000"/>
            </w:tcBorders>
            <w:shd w:val="clear" w:color="000000" w:fill="FFFFCC"/>
            <w:vAlign w:val="bottom"/>
            <w:hideMark/>
          </w:tcPr>
          <w:p w14:paraId="4EDBE90D" w14:textId="77777777" w:rsidR="00D849B5" w:rsidRPr="0089139F" w:rsidRDefault="00D849B5" w:rsidP="00D849B5">
            <w:pPr>
              <w:jc w:val="center"/>
              <w:rPr>
                <w:rFonts w:ascii="Noto Sans" w:eastAsia="Times New Roman" w:hAnsi="Noto Sans" w:cs="Noto Sans"/>
                <w:b/>
                <w:bCs/>
                <w:color w:val="000000"/>
                <w:sz w:val="16"/>
                <w:szCs w:val="16"/>
                <w:lang w:val="es-MX" w:eastAsia="en-US"/>
              </w:rPr>
            </w:pPr>
            <w:r w:rsidRPr="0089139F">
              <w:rPr>
                <w:rFonts w:ascii="Noto Sans" w:eastAsia="Times New Roman" w:hAnsi="Noto Sans" w:cs="Noto Sans"/>
                <w:b/>
                <w:bCs/>
                <w:color w:val="000000"/>
                <w:sz w:val="16"/>
                <w:szCs w:val="16"/>
                <w:lang w:val="es-MX" w:eastAsia="en-US"/>
              </w:rPr>
              <w:t>Tipo de Valor de la Meta</w:t>
            </w:r>
          </w:p>
        </w:tc>
        <w:tc>
          <w:tcPr>
            <w:tcW w:w="1021" w:type="dxa"/>
            <w:tcBorders>
              <w:top w:val="nil"/>
              <w:left w:val="nil"/>
              <w:bottom w:val="single" w:sz="4" w:space="0" w:color="000000"/>
              <w:right w:val="single" w:sz="4" w:space="0" w:color="000000"/>
            </w:tcBorders>
            <w:shd w:val="clear" w:color="000000" w:fill="FFFFCC"/>
            <w:vAlign w:val="bottom"/>
            <w:hideMark/>
          </w:tcPr>
          <w:p w14:paraId="658867F8"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Unidad de Medida</w:t>
            </w:r>
          </w:p>
        </w:tc>
        <w:tc>
          <w:tcPr>
            <w:tcW w:w="1057" w:type="dxa"/>
            <w:tcBorders>
              <w:top w:val="nil"/>
              <w:left w:val="nil"/>
              <w:bottom w:val="single" w:sz="4" w:space="0" w:color="000000"/>
              <w:right w:val="single" w:sz="4" w:space="0" w:color="000000"/>
            </w:tcBorders>
            <w:shd w:val="clear" w:color="000000" w:fill="FFFFCC"/>
            <w:vAlign w:val="bottom"/>
            <w:hideMark/>
          </w:tcPr>
          <w:p w14:paraId="3D09838A"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Tipo de Indicador</w:t>
            </w:r>
          </w:p>
        </w:tc>
        <w:tc>
          <w:tcPr>
            <w:tcW w:w="1073" w:type="dxa"/>
            <w:tcBorders>
              <w:top w:val="nil"/>
              <w:left w:val="nil"/>
              <w:bottom w:val="single" w:sz="4" w:space="0" w:color="000000"/>
              <w:right w:val="single" w:sz="4" w:space="0" w:color="000000"/>
            </w:tcBorders>
            <w:shd w:val="clear" w:color="000000" w:fill="FFFFCC"/>
            <w:vAlign w:val="bottom"/>
            <w:hideMark/>
          </w:tcPr>
          <w:p w14:paraId="310814EF"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Dimensión del Indicador</w:t>
            </w:r>
          </w:p>
        </w:tc>
        <w:tc>
          <w:tcPr>
            <w:tcW w:w="1086" w:type="dxa"/>
            <w:tcBorders>
              <w:top w:val="nil"/>
              <w:left w:val="nil"/>
              <w:bottom w:val="single" w:sz="4" w:space="0" w:color="000000"/>
              <w:right w:val="single" w:sz="4" w:space="0" w:color="000000"/>
            </w:tcBorders>
            <w:shd w:val="clear" w:color="000000" w:fill="FFFFCC"/>
            <w:vAlign w:val="bottom"/>
            <w:hideMark/>
          </w:tcPr>
          <w:p w14:paraId="1E17D976"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Frecuencia de Medición</w:t>
            </w:r>
          </w:p>
        </w:tc>
        <w:tc>
          <w:tcPr>
            <w:tcW w:w="10686" w:type="dxa"/>
            <w:tcBorders>
              <w:top w:val="nil"/>
              <w:left w:val="nil"/>
              <w:bottom w:val="single" w:sz="4" w:space="0" w:color="000000"/>
              <w:right w:val="single" w:sz="4" w:space="0" w:color="000000"/>
            </w:tcBorders>
            <w:shd w:val="clear" w:color="000000" w:fill="FFFFCC"/>
            <w:vAlign w:val="bottom"/>
            <w:hideMark/>
          </w:tcPr>
          <w:p w14:paraId="13FE4608"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Medios de Verificación</w:t>
            </w:r>
          </w:p>
        </w:tc>
      </w:tr>
      <w:tr w:rsidR="00D849B5" w:rsidRPr="0089139F" w14:paraId="0952F4A0" w14:textId="77777777" w:rsidTr="00D849B5">
        <w:trPr>
          <w:trHeight w:val="7140"/>
        </w:trPr>
        <w:tc>
          <w:tcPr>
            <w:tcW w:w="1367" w:type="dxa"/>
            <w:tcBorders>
              <w:top w:val="nil"/>
              <w:left w:val="single" w:sz="4" w:space="0" w:color="000000"/>
              <w:bottom w:val="single" w:sz="4" w:space="0" w:color="000000"/>
              <w:right w:val="single" w:sz="4" w:space="0" w:color="000000"/>
            </w:tcBorders>
            <w:shd w:val="clear" w:color="000000" w:fill="FFFFFF"/>
            <w:vAlign w:val="bottom"/>
            <w:hideMark/>
          </w:tcPr>
          <w:p w14:paraId="27DB0B8A"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Cobertura de notificación de casos nuevos de enfermedades infecciosas y transmisibles</w:t>
            </w:r>
          </w:p>
        </w:tc>
        <w:tc>
          <w:tcPr>
            <w:tcW w:w="1419" w:type="dxa"/>
            <w:tcBorders>
              <w:top w:val="nil"/>
              <w:left w:val="nil"/>
              <w:bottom w:val="single" w:sz="4" w:space="0" w:color="000000"/>
              <w:right w:val="single" w:sz="4" w:space="0" w:color="000000"/>
            </w:tcBorders>
            <w:shd w:val="clear" w:color="000000" w:fill="FFFFFF"/>
            <w:vAlign w:val="bottom"/>
            <w:hideMark/>
          </w:tcPr>
          <w:p w14:paraId="19567810"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Se refiere al total de casos nuevos de enfermedades infecciosas y transmisibles notificados a través de las acciones de prevención, promoción de la salud, detección y diagnóstico oportunos en las entidades federativas, a fin de otorgar tratamiento oportuno y alcanzar el control de estas enfermedades, que se encuentran bajo la responsabilidad del Centro Nacional de Programas Preventivos y Control de Enfermedades (CENAPRECE) como son: Tuberculosis, dengue, chagas, leishmaniasis, picadura de alacrán, mordedura por perro y otras especies, incluyendo dos enfermedades en vías de eliminación como problema de salud pública en México, como son el paludismo y la lepra.</w:t>
            </w:r>
          </w:p>
        </w:tc>
        <w:tc>
          <w:tcPr>
            <w:tcW w:w="1884" w:type="dxa"/>
            <w:tcBorders>
              <w:top w:val="nil"/>
              <w:left w:val="nil"/>
              <w:bottom w:val="single" w:sz="4" w:space="0" w:color="000000"/>
              <w:right w:val="single" w:sz="4" w:space="0" w:color="000000"/>
            </w:tcBorders>
            <w:shd w:val="clear" w:color="000000" w:fill="FFFFFF"/>
            <w:vAlign w:val="bottom"/>
            <w:hideMark/>
          </w:tcPr>
          <w:p w14:paraId="2548C9DE"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(Número de casos nuevos de enfermedades infecciosas y transmisibles notificados)/(Número de casos nuevos de enfermedades infecciosas y transmisibles programados) X 100</w:t>
            </w:r>
          </w:p>
        </w:tc>
        <w:tc>
          <w:tcPr>
            <w:tcW w:w="814" w:type="dxa"/>
            <w:tcBorders>
              <w:top w:val="nil"/>
              <w:left w:val="nil"/>
              <w:bottom w:val="single" w:sz="4" w:space="0" w:color="000000"/>
              <w:right w:val="single" w:sz="4" w:space="0" w:color="000000"/>
            </w:tcBorders>
            <w:shd w:val="clear" w:color="000000" w:fill="FFFFFF"/>
            <w:vAlign w:val="bottom"/>
            <w:hideMark/>
          </w:tcPr>
          <w:p w14:paraId="74750B22"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Relativo</w:t>
            </w:r>
          </w:p>
        </w:tc>
        <w:tc>
          <w:tcPr>
            <w:tcW w:w="1021" w:type="dxa"/>
            <w:tcBorders>
              <w:top w:val="nil"/>
              <w:left w:val="nil"/>
              <w:bottom w:val="single" w:sz="4" w:space="0" w:color="000000"/>
              <w:right w:val="single" w:sz="4" w:space="0" w:color="000000"/>
            </w:tcBorders>
            <w:shd w:val="clear" w:color="000000" w:fill="FFFFFF"/>
            <w:vAlign w:val="bottom"/>
            <w:hideMark/>
          </w:tcPr>
          <w:p w14:paraId="49390E1D"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Porcentaje</w:t>
            </w:r>
          </w:p>
        </w:tc>
        <w:tc>
          <w:tcPr>
            <w:tcW w:w="1057" w:type="dxa"/>
            <w:tcBorders>
              <w:top w:val="nil"/>
              <w:left w:val="nil"/>
              <w:bottom w:val="single" w:sz="4" w:space="0" w:color="000000"/>
              <w:right w:val="single" w:sz="4" w:space="0" w:color="000000"/>
            </w:tcBorders>
            <w:shd w:val="clear" w:color="000000" w:fill="FFFFFF"/>
            <w:vAlign w:val="bottom"/>
            <w:hideMark/>
          </w:tcPr>
          <w:p w14:paraId="2CDF44A1"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Estratégico</w:t>
            </w:r>
          </w:p>
        </w:tc>
        <w:tc>
          <w:tcPr>
            <w:tcW w:w="1073" w:type="dxa"/>
            <w:tcBorders>
              <w:top w:val="nil"/>
              <w:left w:val="nil"/>
              <w:bottom w:val="single" w:sz="4" w:space="0" w:color="000000"/>
              <w:right w:val="single" w:sz="4" w:space="0" w:color="000000"/>
            </w:tcBorders>
            <w:shd w:val="clear" w:color="000000" w:fill="FFFFFF"/>
            <w:vAlign w:val="bottom"/>
            <w:hideMark/>
          </w:tcPr>
          <w:p w14:paraId="0C58A304"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Eficacia</w:t>
            </w:r>
          </w:p>
        </w:tc>
        <w:tc>
          <w:tcPr>
            <w:tcW w:w="1086" w:type="dxa"/>
            <w:tcBorders>
              <w:top w:val="nil"/>
              <w:left w:val="nil"/>
              <w:bottom w:val="single" w:sz="4" w:space="0" w:color="000000"/>
              <w:right w:val="single" w:sz="4" w:space="0" w:color="000000"/>
            </w:tcBorders>
            <w:shd w:val="clear" w:color="000000" w:fill="FFFFFF"/>
            <w:vAlign w:val="bottom"/>
            <w:hideMark/>
          </w:tcPr>
          <w:p w14:paraId="3F7291B7"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Trimestral</w:t>
            </w:r>
          </w:p>
        </w:tc>
        <w:tc>
          <w:tcPr>
            <w:tcW w:w="10686" w:type="dxa"/>
            <w:tcBorders>
              <w:top w:val="nil"/>
              <w:left w:val="nil"/>
              <w:bottom w:val="single" w:sz="4" w:space="0" w:color="000000"/>
              <w:right w:val="single" w:sz="4" w:space="0" w:color="000000"/>
            </w:tcBorders>
            <w:shd w:val="clear" w:color="000000" w:fill="FFFFFF"/>
            <w:vAlign w:val="bottom"/>
            <w:hideMark/>
          </w:tcPr>
          <w:p w14:paraId="294CFB57"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(Variable 1 casos nuevos de tuberculosis, lepra, agresiones por perro y otras especies, paludismo, dengue y otras enfermedades transmitidas por vector notificados)/(Variable 2 Casos nuevos de tuberculosis, lepra, agresiones por perro y otras especies, paludismo, dengue y otras enfermedades transmitidas por vector programados):http://sinave.gob.mx/;http://www.dgis.salud.gob.mx/contenidos/basesdedatos/acceso_seed.html; Sistema Único Automatizado para la Vigilancia Epidemiológica (SUAVE), http://cenaprece.ecolls.com.mx/; son todos los medios de verificación que se utilizan para ubicar los casos nuevos diagnosticados de: tuberculosis, lepra, dengue, paludismo, chagas, leishmaniasis, picadura de alacrán, mordedura por perro y otras especies</w:t>
            </w:r>
          </w:p>
        </w:tc>
      </w:tr>
      <w:tr w:rsidR="00D849B5" w:rsidRPr="0089139F" w14:paraId="084191E7" w14:textId="77777777" w:rsidTr="00D849B5">
        <w:trPr>
          <w:trHeight w:val="210"/>
        </w:trPr>
        <w:tc>
          <w:tcPr>
            <w:tcW w:w="20407" w:type="dxa"/>
            <w:gridSpan w:val="9"/>
            <w:tcBorders>
              <w:top w:val="single" w:sz="4" w:space="0" w:color="000000"/>
              <w:left w:val="single" w:sz="4" w:space="0" w:color="000000"/>
              <w:bottom w:val="single" w:sz="4" w:space="0" w:color="000000"/>
              <w:right w:val="single" w:sz="4" w:space="0" w:color="000000"/>
            </w:tcBorders>
            <w:shd w:val="clear" w:color="000000" w:fill="000080"/>
            <w:vAlign w:val="bottom"/>
            <w:hideMark/>
          </w:tcPr>
          <w:p w14:paraId="4E7F648F" w14:textId="77777777" w:rsidR="00D849B5" w:rsidRPr="0089139F" w:rsidRDefault="00D849B5" w:rsidP="00D849B5">
            <w:pPr>
              <w:jc w:val="center"/>
              <w:rPr>
                <w:rFonts w:ascii="Noto Sans" w:eastAsia="Times New Roman" w:hAnsi="Noto Sans" w:cs="Noto Sans"/>
                <w:b/>
                <w:bCs/>
                <w:color w:val="FFFFFF"/>
                <w:sz w:val="16"/>
                <w:szCs w:val="16"/>
                <w:lang w:val="en-US" w:eastAsia="en-US"/>
              </w:rPr>
            </w:pPr>
            <w:r w:rsidRPr="0089139F">
              <w:rPr>
                <w:rFonts w:ascii="Noto Sans" w:eastAsia="Times New Roman" w:hAnsi="Noto Sans" w:cs="Noto Sans"/>
                <w:b/>
                <w:bCs/>
                <w:color w:val="FFFFFF"/>
                <w:sz w:val="16"/>
                <w:szCs w:val="16"/>
                <w:lang w:val="en-US" w:eastAsia="en-US"/>
              </w:rPr>
              <w:t>Componente</w:t>
            </w:r>
          </w:p>
        </w:tc>
      </w:tr>
      <w:tr w:rsidR="00D849B5" w:rsidRPr="0089139F" w14:paraId="26E3B7E8" w14:textId="77777777" w:rsidTr="00D849B5">
        <w:trPr>
          <w:trHeight w:val="210"/>
        </w:trPr>
        <w:tc>
          <w:tcPr>
            <w:tcW w:w="4670" w:type="dxa"/>
            <w:gridSpan w:val="3"/>
            <w:tcBorders>
              <w:top w:val="single" w:sz="4" w:space="0" w:color="000000"/>
              <w:left w:val="single" w:sz="4" w:space="0" w:color="000000"/>
              <w:bottom w:val="single" w:sz="4" w:space="0" w:color="000000"/>
              <w:right w:val="single" w:sz="4" w:space="0" w:color="000000"/>
            </w:tcBorders>
            <w:shd w:val="clear" w:color="000000" w:fill="99CCFF"/>
            <w:vAlign w:val="bottom"/>
            <w:hideMark/>
          </w:tcPr>
          <w:p w14:paraId="5686F720"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Objetivo</w:t>
            </w:r>
          </w:p>
        </w:tc>
        <w:tc>
          <w:tcPr>
            <w:tcW w:w="2892"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12C366E9"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Orden</w:t>
            </w:r>
          </w:p>
        </w:tc>
        <w:tc>
          <w:tcPr>
            <w:tcW w:w="12845"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6D4FBBC7"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Supuestos</w:t>
            </w:r>
          </w:p>
        </w:tc>
      </w:tr>
      <w:tr w:rsidR="00D849B5" w:rsidRPr="0089139F" w14:paraId="0D60015B" w14:textId="77777777" w:rsidTr="00D849B5">
        <w:trPr>
          <w:trHeight w:val="1050"/>
        </w:trPr>
        <w:tc>
          <w:tcPr>
            <w:tcW w:w="4670"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9130771"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Verificar en campo la operación y observancia de la normatividad oficial vigente así como los lineamientos establecidos para el control y seguimiento de los padecimientos objeto de los programas de acción bajo la responsabilidad del Centro Nacional de Programas Preventivos y Control de Enfermedades (CENAPRECE)</w:t>
            </w:r>
          </w:p>
        </w:tc>
        <w:tc>
          <w:tcPr>
            <w:tcW w:w="2892" w:type="dxa"/>
            <w:gridSpan w:val="3"/>
            <w:tcBorders>
              <w:top w:val="single" w:sz="4" w:space="0" w:color="000000"/>
              <w:left w:val="nil"/>
              <w:bottom w:val="single" w:sz="4" w:space="0" w:color="000000"/>
              <w:right w:val="single" w:sz="4" w:space="0" w:color="000000"/>
            </w:tcBorders>
            <w:shd w:val="clear" w:color="auto" w:fill="auto"/>
            <w:vAlign w:val="bottom"/>
            <w:hideMark/>
          </w:tcPr>
          <w:p w14:paraId="3A112A75" w14:textId="77777777" w:rsidR="00D849B5" w:rsidRPr="0089139F" w:rsidRDefault="00D849B5" w:rsidP="00D849B5">
            <w:pPr>
              <w:jc w:val="cente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4</w:t>
            </w:r>
          </w:p>
        </w:tc>
        <w:tc>
          <w:tcPr>
            <w:tcW w:w="12845" w:type="dxa"/>
            <w:gridSpan w:val="3"/>
            <w:tcBorders>
              <w:top w:val="single" w:sz="4" w:space="0" w:color="000000"/>
              <w:left w:val="nil"/>
              <w:bottom w:val="single" w:sz="4" w:space="0" w:color="000000"/>
              <w:right w:val="single" w:sz="4" w:space="0" w:color="000000"/>
            </w:tcBorders>
            <w:shd w:val="clear" w:color="auto" w:fill="auto"/>
            <w:vAlign w:val="bottom"/>
            <w:hideMark/>
          </w:tcPr>
          <w:p w14:paraId="3F968B04"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Existen las facilidades técnico-operativas para el ejercicio de las visitas de supervisión, en cumplimiento a la programación anual y a los lineamientos establecidos para ello</w:t>
            </w:r>
          </w:p>
        </w:tc>
      </w:tr>
      <w:tr w:rsidR="00D849B5" w:rsidRPr="0089139F" w14:paraId="27E87EFD" w14:textId="77777777" w:rsidTr="00D849B5">
        <w:trPr>
          <w:trHeight w:val="408"/>
        </w:trPr>
        <w:tc>
          <w:tcPr>
            <w:tcW w:w="1367" w:type="dxa"/>
            <w:tcBorders>
              <w:top w:val="nil"/>
              <w:left w:val="single" w:sz="4" w:space="0" w:color="000000"/>
              <w:bottom w:val="single" w:sz="4" w:space="0" w:color="000000"/>
              <w:right w:val="single" w:sz="4" w:space="0" w:color="000000"/>
            </w:tcBorders>
            <w:shd w:val="clear" w:color="000000" w:fill="FFFFCC"/>
            <w:vAlign w:val="bottom"/>
            <w:hideMark/>
          </w:tcPr>
          <w:p w14:paraId="3720BEED"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Indicador</w:t>
            </w:r>
          </w:p>
        </w:tc>
        <w:tc>
          <w:tcPr>
            <w:tcW w:w="1419" w:type="dxa"/>
            <w:tcBorders>
              <w:top w:val="nil"/>
              <w:left w:val="nil"/>
              <w:bottom w:val="single" w:sz="4" w:space="0" w:color="000000"/>
              <w:right w:val="single" w:sz="4" w:space="0" w:color="000000"/>
            </w:tcBorders>
            <w:shd w:val="clear" w:color="000000" w:fill="FFFFCC"/>
            <w:vAlign w:val="bottom"/>
            <w:hideMark/>
          </w:tcPr>
          <w:p w14:paraId="7E494CC8"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Definición</w:t>
            </w:r>
          </w:p>
        </w:tc>
        <w:tc>
          <w:tcPr>
            <w:tcW w:w="1884" w:type="dxa"/>
            <w:tcBorders>
              <w:top w:val="nil"/>
              <w:left w:val="nil"/>
              <w:bottom w:val="single" w:sz="4" w:space="0" w:color="000000"/>
              <w:right w:val="single" w:sz="4" w:space="0" w:color="000000"/>
            </w:tcBorders>
            <w:shd w:val="clear" w:color="000000" w:fill="FFFFCC"/>
            <w:vAlign w:val="bottom"/>
            <w:hideMark/>
          </w:tcPr>
          <w:p w14:paraId="5D1387D2"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Método de Calculo</w:t>
            </w:r>
          </w:p>
        </w:tc>
        <w:tc>
          <w:tcPr>
            <w:tcW w:w="814" w:type="dxa"/>
            <w:tcBorders>
              <w:top w:val="nil"/>
              <w:left w:val="nil"/>
              <w:bottom w:val="single" w:sz="4" w:space="0" w:color="000000"/>
              <w:right w:val="single" w:sz="4" w:space="0" w:color="000000"/>
            </w:tcBorders>
            <w:shd w:val="clear" w:color="000000" w:fill="FFFFCC"/>
            <w:vAlign w:val="bottom"/>
            <w:hideMark/>
          </w:tcPr>
          <w:p w14:paraId="514E642C" w14:textId="77777777" w:rsidR="00D849B5" w:rsidRPr="0089139F" w:rsidRDefault="00D849B5" w:rsidP="00D849B5">
            <w:pPr>
              <w:jc w:val="center"/>
              <w:rPr>
                <w:rFonts w:ascii="Noto Sans" w:eastAsia="Times New Roman" w:hAnsi="Noto Sans" w:cs="Noto Sans"/>
                <w:b/>
                <w:bCs/>
                <w:color w:val="000000"/>
                <w:sz w:val="16"/>
                <w:szCs w:val="16"/>
                <w:lang w:val="es-MX" w:eastAsia="en-US"/>
              </w:rPr>
            </w:pPr>
            <w:r w:rsidRPr="0089139F">
              <w:rPr>
                <w:rFonts w:ascii="Noto Sans" w:eastAsia="Times New Roman" w:hAnsi="Noto Sans" w:cs="Noto Sans"/>
                <w:b/>
                <w:bCs/>
                <w:color w:val="000000"/>
                <w:sz w:val="16"/>
                <w:szCs w:val="16"/>
                <w:lang w:val="es-MX" w:eastAsia="en-US"/>
              </w:rPr>
              <w:t>Tipo de Valor de la Meta</w:t>
            </w:r>
          </w:p>
        </w:tc>
        <w:tc>
          <w:tcPr>
            <w:tcW w:w="1021" w:type="dxa"/>
            <w:tcBorders>
              <w:top w:val="nil"/>
              <w:left w:val="nil"/>
              <w:bottom w:val="single" w:sz="4" w:space="0" w:color="000000"/>
              <w:right w:val="single" w:sz="4" w:space="0" w:color="000000"/>
            </w:tcBorders>
            <w:shd w:val="clear" w:color="000000" w:fill="FFFFCC"/>
            <w:vAlign w:val="bottom"/>
            <w:hideMark/>
          </w:tcPr>
          <w:p w14:paraId="4765C081"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Unidad de Medida</w:t>
            </w:r>
          </w:p>
        </w:tc>
        <w:tc>
          <w:tcPr>
            <w:tcW w:w="1057" w:type="dxa"/>
            <w:tcBorders>
              <w:top w:val="nil"/>
              <w:left w:val="nil"/>
              <w:bottom w:val="single" w:sz="4" w:space="0" w:color="000000"/>
              <w:right w:val="single" w:sz="4" w:space="0" w:color="000000"/>
            </w:tcBorders>
            <w:shd w:val="clear" w:color="000000" w:fill="FFFFCC"/>
            <w:vAlign w:val="bottom"/>
            <w:hideMark/>
          </w:tcPr>
          <w:p w14:paraId="2596EA82"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Tipo de Indicador</w:t>
            </w:r>
          </w:p>
        </w:tc>
        <w:tc>
          <w:tcPr>
            <w:tcW w:w="1073" w:type="dxa"/>
            <w:tcBorders>
              <w:top w:val="nil"/>
              <w:left w:val="nil"/>
              <w:bottom w:val="single" w:sz="4" w:space="0" w:color="000000"/>
              <w:right w:val="single" w:sz="4" w:space="0" w:color="000000"/>
            </w:tcBorders>
            <w:shd w:val="clear" w:color="000000" w:fill="FFFFCC"/>
            <w:vAlign w:val="bottom"/>
            <w:hideMark/>
          </w:tcPr>
          <w:p w14:paraId="29AF484E"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Dimensión del Indicador</w:t>
            </w:r>
          </w:p>
        </w:tc>
        <w:tc>
          <w:tcPr>
            <w:tcW w:w="1086" w:type="dxa"/>
            <w:tcBorders>
              <w:top w:val="nil"/>
              <w:left w:val="nil"/>
              <w:bottom w:val="single" w:sz="4" w:space="0" w:color="000000"/>
              <w:right w:val="single" w:sz="4" w:space="0" w:color="000000"/>
            </w:tcBorders>
            <w:shd w:val="clear" w:color="000000" w:fill="FFFFCC"/>
            <w:vAlign w:val="bottom"/>
            <w:hideMark/>
          </w:tcPr>
          <w:p w14:paraId="4475B253"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Frecuencia de Medición</w:t>
            </w:r>
          </w:p>
        </w:tc>
        <w:tc>
          <w:tcPr>
            <w:tcW w:w="10686" w:type="dxa"/>
            <w:tcBorders>
              <w:top w:val="nil"/>
              <w:left w:val="nil"/>
              <w:bottom w:val="single" w:sz="4" w:space="0" w:color="000000"/>
              <w:right w:val="single" w:sz="4" w:space="0" w:color="000000"/>
            </w:tcBorders>
            <w:shd w:val="clear" w:color="000000" w:fill="FFFFCC"/>
            <w:vAlign w:val="bottom"/>
            <w:hideMark/>
          </w:tcPr>
          <w:p w14:paraId="7246F9C2"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Medios de Verificación</w:t>
            </w:r>
          </w:p>
        </w:tc>
      </w:tr>
      <w:tr w:rsidR="00D849B5" w:rsidRPr="0089139F" w14:paraId="32561CCA" w14:textId="77777777" w:rsidTr="00D849B5">
        <w:trPr>
          <w:trHeight w:val="5508"/>
        </w:trPr>
        <w:tc>
          <w:tcPr>
            <w:tcW w:w="1367" w:type="dxa"/>
            <w:tcBorders>
              <w:top w:val="nil"/>
              <w:left w:val="single" w:sz="4" w:space="0" w:color="000000"/>
              <w:bottom w:val="single" w:sz="4" w:space="0" w:color="000000"/>
              <w:right w:val="single" w:sz="4" w:space="0" w:color="000000"/>
            </w:tcBorders>
            <w:shd w:val="clear" w:color="000000" w:fill="FFFFFF"/>
            <w:vAlign w:val="bottom"/>
            <w:hideMark/>
          </w:tcPr>
          <w:p w14:paraId="1D5C7EF6"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Porcentaje de cumplimiento de las visitas de supervision programadas a las entidades federativas</w:t>
            </w:r>
          </w:p>
        </w:tc>
        <w:tc>
          <w:tcPr>
            <w:tcW w:w="1419" w:type="dxa"/>
            <w:tcBorders>
              <w:top w:val="nil"/>
              <w:left w:val="nil"/>
              <w:bottom w:val="single" w:sz="4" w:space="0" w:color="000000"/>
              <w:right w:val="single" w:sz="4" w:space="0" w:color="000000"/>
            </w:tcBorders>
            <w:shd w:val="clear" w:color="000000" w:fill="FFFFFF"/>
            <w:vAlign w:val="bottom"/>
            <w:hideMark/>
          </w:tcPr>
          <w:p w14:paraId="007F6F0D"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Se refiere al número de visitas de supervision realizadas a las entidades federativas respecto a las programadas, con el propósito de verificar la observancia de la normatividad oficial en cada uno de los Programas de Acción Específicos bajo la responsabilidad del Centro Nacional de Programas Preventivos y Control de Enfermedades (CENAPRECE), así como los alcances respecto a las metas establecidas para el año lectivo en cada uno de estos programas y los avances respecto a los compromisos establecidos en las visitas anteriores.</w:t>
            </w:r>
          </w:p>
        </w:tc>
        <w:tc>
          <w:tcPr>
            <w:tcW w:w="1884" w:type="dxa"/>
            <w:tcBorders>
              <w:top w:val="nil"/>
              <w:left w:val="nil"/>
              <w:bottom w:val="single" w:sz="4" w:space="0" w:color="000000"/>
              <w:right w:val="single" w:sz="4" w:space="0" w:color="000000"/>
            </w:tcBorders>
            <w:shd w:val="clear" w:color="000000" w:fill="FFFFFF"/>
            <w:vAlign w:val="bottom"/>
            <w:hideMark/>
          </w:tcPr>
          <w:p w14:paraId="33D3E45F"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(Número de visistas de supervision realizadas )/(Número de visitas de supervisión programadas) X 100</w:t>
            </w:r>
          </w:p>
        </w:tc>
        <w:tc>
          <w:tcPr>
            <w:tcW w:w="814" w:type="dxa"/>
            <w:tcBorders>
              <w:top w:val="nil"/>
              <w:left w:val="nil"/>
              <w:bottom w:val="single" w:sz="4" w:space="0" w:color="000000"/>
              <w:right w:val="single" w:sz="4" w:space="0" w:color="000000"/>
            </w:tcBorders>
            <w:shd w:val="clear" w:color="000000" w:fill="FFFFFF"/>
            <w:vAlign w:val="bottom"/>
            <w:hideMark/>
          </w:tcPr>
          <w:p w14:paraId="62ECCF27"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Relativo</w:t>
            </w:r>
          </w:p>
        </w:tc>
        <w:tc>
          <w:tcPr>
            <w:tcW w:w="1021" w:type="dxa"/>
            <w:tcBorders>
              <w:top w:val="nil"/>
              <w:left w:val="nil"/>
              <w:bottom w:val="single" w:sz="4" w:space="0" w:color="000000"/>
              <w:right w:val="single" w:sz="4" w:space="0" w:color="000000"/>
            </w:tcBorders>
            <w:shd w:val="clear" w:color="000000" w:fill="FFFFFF"/>
            <w:vAlign w:val="bottom"/>
            <w:hideMark/>
          </w:tcPr>
          <w:p w14:paraId="31D3EAD1"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Porcentaje</w:t>
            </w:r>
          </w:p>
        </w:tc>
        <w:tc>
          <w:tcPr>
            <w:tcW w:w="1057" w:type="dxa"/>
            <w:tcBorders>
              <w:top w:val="nil"/>
              <w:left w:val="nil"/>
              <w:bottom w:val="single" w:sz="4" w:space="0" w:color="000000"/>
              <w:right w:val="single" w:sz="4" w:space="0" w:color="000000"/>
            </w:tcBorders>
            <w:shd w:val="clear" w:color="000000" w:fill="FFFFFF"/>
            <w:vAlign w:val="bottom"/>
            <w:hideMark/>
          </w:tcPr>
          <w:p w14:paraId="29E4156A"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Estratégico</w:t>
            </w:r>
          </w:p>
        </w:tc>
        <w:tc>
          <w:tcPr>
            <w:tcW w:w="1073" w:type="dxa"/>
            <w:tcBorders>
              <w:top w:val="nil"/>
              <w:left w:val="nil"/>
              <w:bottom w:val="single" w:sz="4" w:space="0" w:color="000000"/>
              <w:right w:val="single" w:sz="4" w:space="0" w:color="000000"/>
            </w:tcBorders>
            <w:shd w:val="clear" w:color="000000" w:fill="FFFFFF"/>
            <w:vAlign w:val="bottom"/>
            <w:hideMark/>
          </w:tcPr>
          <w:p w14:paraId="2E1653E8"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Eficacia</w:t>
            </w:r>
          </w:p>
        </w:tc>
        <w:tc>
          <w:tcPr>
            <w:tcW w:w="1086" w:type="dxa"/>
            <w:tcBorders>
              <w:top w:val="nil"/>
              <w:left w:val="nil"/>
              <w:bottom w:val="single" w:sz="4" w:space="0" w:color="000000"/>
              <w:right w:val="single" w:sz="4" w:space="0" w:color="000000"/>
            </w:tcBorders>
            <w:shd w:val="clear" w:color="000000" w:fill="FFFFFF"/>
            <w:vAlign w:val="bottom"/>
            <w:hideMark/>
          </w:tcPr>
          <w:p w14:paraId="299DC14D"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Trimestral</w:t>
            </w:r>
          </w:p>
        </w:tc>
        <w:tc>
          <w:tcPr>
            <w:tcW w:w="10686" w:type="dxa"/>
            <w:tcBorders>
              <w:top w:val="nil"/>
              <w:left w:val="nil"/>
              <w:bottom w:val="single" w:sz="4" w:space="0" w:color="000000"/>
              <w:right w:val="single" w:sz="4" w:space="0" w:color="000000"/>
            </w:tcBorders>
            <w:shd w:val="clear" w:color="000000" w:fill="FFFFFF"/>
            <w:vAlign w:val="bottom"/>
            <w:hideMark/>
          </w:tcPr>
          <w:p w14:paraId="240D6E88"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Variable 1 (Número de visitasde supervision realizadas )variable 2(Número de visitas de supervisión programadas):</w:t>
            </w:r>
          </w:p>
        </w:tc>
      </w:tr>
      <w:tr w:rsidR="00D849B5" w:rsidRPr="0089139F" w14:paraId="045D3066" w14:textId="77777777" w:rsidTr="00D849B5">
        <w:trPr>
          <w:trHeight w:val="210"/>
        </w:trPr>
        <w:tc>
          <w:tcPr>
            <w:tcW w:w="4670" w:type="dxa"/>
            <w:gridSpan w:val="3"/>
            <w:tcBorders>
              <w:top w:val="single" w:sz="4" w:space="0" w:color="000000"/>
              <w:left w:val="single" w:sz="4" w:space="0" w:color="000000"/>
              <w:bottom w:val="single" w:sz="4" w:space="0" w:color="000000"/>
              <w:right w:val="single" w:sz="4" w:space="0" w:color="000000"/>
            </w:tcBorders>
            <w:shd w:val="clear" w:color="000000" w:fill="99CCFF"/>
            <w:vAlign w:val="bottom"/>
            <w:hideMark/>
          </w:tcPr>
          <w:p w14:paraId="2C9B52DE"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Objetivo</w:t>
            </w:r>
          </w:p>
        </w:tc>
        <w:tc>
          <w:tcPr>
            <w:tcW w:w="2892"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5DC6CE30"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Orden</w:t>
            </w:r>
          </w:p>
        </w:tc>
        <w:tc>
          <w:tcPr>
            <w:tcW w:w="12845"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2EE0E27A"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Supuestos</w:t>
            </w:r>
          </w:p>
        </w:tc>
      </w:tr>
      <w:tr w:rsidR="00D849B5" w:rsidRPr="0089139F" w14:paraId="14A2D63E" w14:textId="77777777" w:rsidTr="00D849B5">
        <w:trPr>
          <w:trHeight w:val="630"/>
        </w:trPr>
        <w:tc>
          <w:tcPr>
            <w:tcW w:w="4670"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61676E0"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Calidad del servicio diagnóstico otorgado por la Red Nacional de Laboratorios de Salud Pública en el Marco Analítico Básico</w:t>
            </w:r>
          </w:p>
        </w:tc>
        <w:tc>
          <w:tcPr>
            <w:tcW w:w="2892" w:type="dxa"/>
            <w:gridSpan w:val="3"/>
            <w:tcBorders>
              <w:top w:val="single" w:sz="4" w:space="0" w:color="000000"/>
              <w:left w:val="nil"/>
              <w:bottom w:val="single" w:sz="4" w:space="0" w:color="000000"/>
              <w:right w:val="single" w:sz="4" w:space="0" w:color="000000"/>
            </w:tcBorders>
            <w:shd w:val="clear" w:color="auto" w:fill="auto"/>
            <w:vAlign w:val="bottom"/>
            <w:hideMark/>
          </w:tcPr>
          <w:p w14:paraId="26DB1D3C" w14:textId="77777777" w:rsidR="00D849B5" w:rsidRPr="0089139F" w:rsidRDefault="00D849B5" w:rsidP="00D849B5">
            <w:pPr>
              <w:jc w:val="cente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35</w:t>
            </w:r>
          </w:p>
        </w:tc>
        <w:tc>
          <w:tcPr>
            <w:tcW w:w="12845" w:type="dxa"/>
            <w:gridSpan w:val="3"/>
            <w:tcBorders>
              <w:top w:val="single" w:sz="4" w:space="0" w:color="000000"/>
              <w:left w:val="nil"/>
              <w:bottom w:val="single" w:sz="4" w:space="0" w:color="000000"/>
              <w:right w:val="single" w:sz="4" w:space="0" w:color="000000"/>
            </w:tcBorders>
            <w:shd w:val="clear" w:color="auto" w:fill="auto"/>
            <w:vAlign w:val="bottom"/>
            <w:hideMark/>
          </w:tcPr>
          <w:p w14:paraId="3EFD4091"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La Red Nacional de Laboratorios de Salud Pública cuenta con los recursos humanos y materiales para brindar servicios de calidad en el Marco Analítico Básico</w:t>
            </w:r>
          </w:p>
        </w:tc>
      </w:tr>
      <w:tr w:rsidR="00D849B5" w:rsidRPr="0089139F" w14:paraId="31969C6D" w14:textId="77777777" w:rsidTr="00D849B5">
        <w:trPr>
          <w:trHeight w:val="408"/>
        </w:trPr>
        <w:tc>
          <w:tcPr>
            <w:tcW w:w="1367" w:type="dxa"/>
            <w:tcBorders>
              <w:top w:val="nil"/>
              <w:left w:val="single" w:sz="4" w:space="0" w:color="000000"/>
              <w:bottom w:val="single" w:sz="4" w:space="0" w:color="000000"/>
              <w:right w:val="single" w:sz="4" w:space="0" w:color="000000"/>
            </w:tcBorders>
            <w:shd w:val="clear" w:color="000000" w:fill="FFFFCC"/>
            <w:vAlign w:val="bottom"/>
            <w:hideMark/>
          </w:tcPr>
          <w:p w14:paraId="4601BAA7"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Indicador</w:t>
            </w:r>
          </w:p>
        </w:tc>
        <w:tc>
          <w:tcPr>
            <w:tcW w:w="1419" w:type="dxa"/>
            <w:tcBorders>
              <w:top w:val="nil"/>
              <w:left w:val="nil"/>
              <w:bottom w:val="single" w:sz="4" w:space="0" w:color="000000"/>
              <w:right w:val="single" w:sz="4" w:space="0" w:color="000000"/>
            </w:tcBorders>
            <w:shd w:val="clear" w:color="000000" w:fill="FFFFCC"/>
            <w:vAlign w:val="bottom"/>
            <w:hideMark/>
          </w:tcPr>
          <w:p w14:paraId="4B626000"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Definición</w:t>
            </w:r>
          </w:p>
        </w:tc>
        <w:tc>
          <w:tcPr>
            <w:tcW w:w="1884" w:type="dxa"/>
            <w:tcBorders>
              <w:top w:val="nil"/>
              <w:left w:val="nil"/>
              <w:bottom w:val="single" w:sz="4" w:space="0" w:color="000000"/>
              <w:right w:val="single" w:sz="4" w:space="0" w:color="000000"/>
            </w:tcBorders>
            <w:shd w:val="clear" w:color="000000" w:fill="FFFFCC"/>
            <w:vAlign w:val="bottom"/>
            <w:hideMark/>
          </w:tcPr>
          <w:p w14:paraId="1809B6D8"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Método de Calculo</w:t>
            </w:r>
          </w:p>
        </w:tc>
        <w:tc>
          <w:tcPr>
            <w:tcW w:w="814" w:type="dxa"/>
            <w:tcBorders>
              <w:top w:val="nil"/>
              <w:left w:val="nil"/>
              <w:bottom w:val="single" w:sz="4" w:space="0" w:color="000000"/>
              <w:right w:val="single" w:sz="4" w:space="0" w:color="000000"/>
            </w:tcBorders>
            <w:shd w:val="clear" w:color="000000" w:fill="FFFFCC"/>
            <w:vAlign w:val="bottom"/>
            <w:hideMark/>
          </w:tcPr>
          <w:p w14:paraId="47B843F3" w14:textId="77777777" w:rsidR="00D849B5" w:rsidRPr="0089139F" w:rsidRDefault="00D849B5" w:rsidP="00D849B5">
            <w:pPr>
              <w:jc w:val="center"/>
              <w:rPr>
                <w:rFonts w:ascii="Noto Sans" w:eastAsia="Times New Roman" w:hAnsi="Noto Sans" w:cs="Noto Sans"/>
                <w:b/>
                <w:bCs/>
                <w:color w:val="000000"/>
                <w:sz w:val="16"/>
                <w:szCs w:val="16"/>
                <w:lang w:val="es-MX" w:eastAsia="en-US"/>
              </w:rPr>
            </w:pPr>
            <w:r w:rsidRPr="0089139F">
              <w:rPr>
                <w:rFonts w:ascii="Noto Sans" w:eastAsia="Times New Roman" w:hAnsi="Noto Sans" w:cs="Noto Sans"/>
                <w:b/>
                <w:bCs/>
                <w:color w:val="000000"/>
                <w:sz w:val="16"/>
                <w:szCs w:val="16"/>
                <w:lang w:val="es-MX" w:eastAsia="en-US"/>
              </w:rPr>
              <w:t>Tipo de Valor de la Meta</w:t>
            </w:r>
          </w:p>
        </w:tc>
        <w:tc>
          <w:tcPr>
            <w:tcW w:w="1021" w:type="dxa"/>
            <w:tcBorders>
              <w:top w:val="nil"/>
              <w:left w:val="nil"/>
              <w:bottom w:val="single" w:sz="4" w:space="0" w:color="000000"/>
              <w:right w:val="single" w:sz="4" w:space="0" w:color="000000"/>
            </w:tcBorders>
            <w:shd w:val="clear" w:color="000000" w:fill="FFFFCC"/>
            <w:vAlign w:val="bottom"/>
            <w:hideMark/>
          </w:tcPr>
          <w:p w14:paraId="0313A60F"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Unidad de Medida</w:t>
            </w:r>
          </w:p>
        </w:tc>
        <w:tc>
          <w:tcPr>
            <w:tcW w:w="1057" w:type="dxa"/>
            <w:tcBorders>
              <w:top w:val="nil"/>
              <w:left w:val="nil"/>
              <w:bottom w:val="single" w:sz="4" w:space="0" w:color="000000"/>
              <w:right w:val="single" w:sz="4" w:space="0" w:color="000000"/>
            </w:tcBorders>
            <w:shd w:val="clear" w:color="000000" w:fill="FFFFCC"/>
            <w:vAlign w:val="bottom"/>
            <w:hideMark/>
          </w:tcPr>
          <w:p w14:paraId="23D64CB1"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Tipo de Indicador</w:t>
            </w:r>
          </w:p>
        </w:tc>
        <w:tc>
          <w:tcPr>
            <w:tcW w:w="1073" w:type="dxa"/>
            <w:tcBorders>
              <w:top w:val="nil"/>
              <w:left w:val="nil"/>
              <w:bottom w:val="single" w:sz="4" w:space="0" w:color="000000"/>
              <w:right w:val="single" w:sz="4" w:space="0" w:color="000000"/>
            </w:tcBorders>
            <w:shd w:val="clear" w:color="000000" w:fill="FFFFCC"/>
            <w:vAlign w:val="bottom"/>
            <w:hideMark/>
          </w:tcPr>
          <w:p w14:paraId="6F48E177"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Dimensión del Indicador</w:t>
            </w:r>
          </w:p>
        </w:tc>
        <w:tc>
          <w:tcPr>
            <w:tcW w:w="1086" w:type="dxa"/>
            <w:tcBorders>
              <w:top w:val="nil"/>
              <w:left w:val="nil"/>
              <w:bottom w:val="single" w:sz="4" w:space="0" w:color="000000"/>
              <w:right w:val="single" w:sz="4" w:space="0" w:color="000000"/>
            </w:tcBorders>
            <w:shd w:val="clear" w:color="000000" w:fill="FFFFCC"/>
            <w:vAlign w:val="bottom"/>
            <w:hideMark/>
          </w:tcPr>
          <w:p w14:paraId="59FE87CB"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Frecuencia de Medición</w:t>
            </w:r>
          </w:p>
        </w:tc>
        <w:tc>
          <w:tcPr>
            <w:tcW w:w="10686" w:type="dxa"/>
            <w:tcBorders>
              <w:top w:val="nil"/>
              <w:left w:val="nil"/>
              <w:bottom w:val="single" w:sz="4" w:space="0" w:color="000000"/>
              <w:right w:val="single" w:sz="4" w:space="0" w:color="000000"/>
            </w:tcBorders>
            <w:shd w:val="clear" w:color="000000" w:fill="FFFFCC"/>
            <w:vAlign w:val="bottom"/>
            <w:hideMark/>
          </w:tcPr>
          <w:p w14:paraId="14AC5070"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Medios de Verificación</w:t>
            </w:r>
          </w:p>
        </w:tc>
      </w:tr>
      <w:tr w:rsidR="00D849B5" w:rsidRPr="0089139F" w14:paraId="184ADC23" w14:textId="77777777" w:rsidTr="00D849B5">
        <w:trPr>
          <w:trHeight w:val="1836"/>
        </w:trPr>
        <w:tc>
          <w:tcPr>
            <w:tcW w:w="1367" w:type="dxa"/>
            <w:tcBorders>
              <w:top w:val="nil"/>
              <w:left w:val="single" w:sz="4" w:space="0" w:color="000000"/>
              <w:bottom w:val="single" w:sz="4" w:space="0" w:color="000000"/>
              <w:right w:val="single" w:sz="4" w:space="0" w:color="000000"/>
            </w:tcBorders>
            <w:shd w:val="clear" w:color="000000" w:fill="FFFFFF"/>
            <w:vAlign w:val="bottom"/>
            <w:hideMark/>
          </w:tcPr>
          <w:p w14:paraId="79FBBCDD"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Porcentaje de calidad del servicio diagnóstico de la Red Nacional de Laboratorios de Salud Pública</w:t>
            </w:r>
          </w:p>
        </w:tc>
        <w:tc>
          <w:tcPr>
            <w:tcW w:w="1419" w:type="dxa"/>
            <w:tcBorders>
              <w:top w:val="nil"/>
              <w:left w:val="nil"/>
              <w:bottom w:val="single" w:sz="4" w:space="0" w:color="000000"/>
              <w:right w:val="single" w:sz="4" w:space="0" w:color="000000"/>
            </w:tcBorders>
            <w:shd w:val="clear" w:color="000000" w:fill="FFFFFF"/>
            <w:vAlign w:val="bottom"/>
            <w:hideMark/>
          </w:tcPr>
          <w:p w14:paraId="49895E20"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Mide la confiabilidad del servicio diagnóstico proporcionado por los Laboratorios Estatales de Salud Pública en el Marco Analítico Básico declarado</w:t>
            </w:r>
          </w:p>
        </w:tc>
        <w:tc>
          <w:tcPr>
            <w:tcW w:w="1884" w:type="dxa"/>
            <w:tcBorders>
              <w:top w:val="nil"/>
              <w:left w:val="nil"/>
              <w:bottom w:val="single" w:sz="4" w:space="0" w:color="000000"/>
              <w:right w:val="single" w:sz="4" w:space="0" w:color="000000"/>
            </w:tcBorders>
            <w:shd w:val="clear" w:color="000000" w:fill="FFFFFF"/>
            <w:vAlign w:val="bottom"/>
            <w:hideMark/>
          </w:tcPr>
          <w:p w14:paraId="35ECC492"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Calificación obtenida de la calidad del servicio / Calificación esperada de la calidad del servicio esperada X 100</w:t>
            </w:r>
          </w:p>
        </w:tc>
        <w:tc>
          <w:tcPr>
            <w:tcW w:w="814" w:type="dxa"/>
            <w:tcBorders>
              <w:top w:val="nil"/>
              <w:left w:val="nil"/>
              <w:bottom w:val="single" w:sz="4" w:space="0" w:color="000000"/>
              <w:right w:val="single" w:sz="4" w:space="0" w:color="000000"/>
            </w:tcBorders>
            <w:shd w:val="clear" w:color="000000" w:fill="FFFFFF"/>
            <w:vAlign w:val="bottom"/>
            <w:hideMark/>
          </w:tcPr>
          <w:p w14:paraId="573DF1CD"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Relativo</w:t>
            </w:r>
          </w:p>
        </w:tc>
        <w:tc>
          <w:tcPr>
            <w:tcW w:w="1021" w:type="dxa"/>
            <w:tcBorders>
              <w:top w:val="nil"/>
              <w:left w:val="nil"/>
              <w:bottom w:val="single" w:sz="4" w:space="0" w:color="000000"/>
              <w:right w:val="single" w:sz="4" w:space="0" w:color="000000"/>
            </w:tcBorders>
            <w:shd w:val="clear" w:color="000000" w:fill="FFFFFF"/>
            <w:vAlign w:val="bottom"/>
            <w:hideMark/>
          </w:tcPr>
          <w:p w14:paraId="7E721A5D"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Porcentaje</w:t>
            </w:r>
          </w:p>
        </w:tc>
        <w:tc>
          <w:tcPr>
            <w:tcW w:w="1057" w:type="dxa"/>
            <w:tcBorders>
              <w:top w:val="nil"/>
              <w:left w:val="nil"/>
              <w:bottom w:val="single" w:sz="4" w:space="0" w:color="000000"/>
              <w:right w:val="single" w:sz="4" w:space="0" w:color="000000"/>
            </w:tcBorders>
            <w:shd w:val="clear" w:color="000000" w:fill="FFFFFF"/>
            <w:vAlign w:val="bottom"/>
            <w:hideMark/>
          </w:tcPr>
          <w:p w14:paraId="7A6A5A44"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Gestión</w:t>
            </w:r>
          </w:p>
        </w:tc>
        <w:tc>
          <w:tcPr>
            <w:tcW w:w="1073" w:type="dxa"/>
            <w:tcBorders>
              <w:top w:val="nil"/>
              <w:left w:val="nil"/>
              <w:bottom w:val="single" w:sz="4" w:space="0" w:color="000000"/>
              <w:right w:val="single" w:sz="4" w:space="0" w:color="000000"/>
            </w:tcBorders>
            <w:shd w:val="clear" w:color="000000" w:fill="FFFFFF"/>
            <w:vAlign w:val="bottom"/>
            <w:hideMark/>
          </w:tcPr>
          <w:p w14:paraId="5D15E5E7"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Calidad</w:t>
            </w:r>
          </w:p>
        </w:tc>
        <w:tc>
          <w:tcPr>
            <w:tcW w:w="1086" w:type="dxa"/>
            <w:tcBorders>
              <w:top w:val="nil"/>
              <w:left w:val="nil"/>
              <w:bottom w:val="single" w:sz="4" w:space="0" w:color="000000"/>
              <w:right w:val="single" w:sz="4" w:space="0" w:color="000000"/>
            </w:tcBorders>
            <w:shd w:val="clear" w:color="000000" w:fill="FFFFFF"/>
            <w:vAlign w:val="bottom"/>
            <w:hideMark/>
          </w:tcPr>
          <w:p w14:paraId="2C21AADB"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Trimestral</w:t>
            </w:r>
          </w:p>
        </w:tc>
        <w:tc>
          <w:tcPr>
            <w:tcW w:w="10686" w:type="dxa"/>
            <w:tcBorders>
              <w:top w:val="nil"/>
              <w:left w:val="nil"/>
              <w:bottom w:val="single" w:sz="4" w:space="0" w:color="000000"/>
              <w:right w:val="single" w:sz="4" w:space="0" w:color="000000"/>
            </w:tcBorders>
            <w:shd w:val="clear" w:color="000000" w:fill="FFFFFF"/>
            <w:vAlign w:val="bottom"/>
            <w:hideMark/>
          </w:tcPr>
          <w:p w14:paraId="22A46888"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Variable 1 Calificaci¿n obtenida en el trimestre) / Variables 2 (Calificaci¿n esperada X 100):Reporte institucional http://www.indre.salud.gob.mx/interior/intd_manuales.html</w:t>
            </w:r>
          </w:p>
        </w:tc>
      </w:tr>
      <w:tr w:rsidR="00D849B5" w:rsidRPr="0089139F" w14:paraId="0F492785" w14:textId="77777777" w:rsidTr="00D849B5">
        <w:trPr>
          <w:trHeight w:val="210"/>
        </w:trPr>
        <w:tc>
          <w:tcPr>
            <w:tcW w:w="4670" w:type="dxa"/>
            <w:gridSpan w:val="3"/>
            <w:tcBorders>
              <w:top w:val="single" w:sz="4" w:space="0" w:color="000000"/>
              <w:left w:val="single" w:sz="4" w:space="0" w:color="000000"/>
              <w:bottom w:val="single" w:sz="4" w:space="0" w:color="000000"/>
              <w:right w:val="single" w:sz="4" w:space="0" w:color="000000"/>
            </w:tcBorders>
            <w:shd w:val="clear" w:color="000000" w:fill="99CCFF"/>
            <w:vAlign w:val="bottom"/>
            <w:hideMark/>
          </w:tcPr>
          <w:p w14:paraId="0AEBDD12"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Objetivo</w:t>
            </w:r>
          </w:p>
        </w:tc>
        <w:tc>
          <w:tcPr>
            <w:tcW w:w="2892"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158CB16A"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Orden</w:t>
            </w:r>
          </w:p>
        </w:tc>
        <w:tc>
          <w:tcPr>
            <w:tcW w:w="12845"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517EF9FC"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Supuestos</w:t>
            </w:r>
          </w:p>
        </w:tc>
      </w:tr>
      <w:tr w:rsidR="00D849B5" w:rsidRPr="0089139F" w14:paraId="146F6495" w14:textId="77777777" w:rsidTr="00D849B5">
        <w:trPr>
          <w:trHeight w:val="630"/>
        </w:trPr>
        <w:tc>
          <w:tcPr>
            <w:tcW w:w="4670"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47DCD2C"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Ofrecer a los trabajadores de la salud y a la población interesada, información al día sobre la presencia de casos nuevos de enfermedades sujetas a vigilancia epidemiológica, a través de boletines semanales</w:t>
            </w:r>
          </w:p>
        </w:tc>
        <w:tc>
          <w:tcPr>
            <w:tcW w:w="2892" w:type="dxa"/>
            <w:gridSpan w:val="3"/>
            <w:tcBorders>
              <w:top w:val="single" w:sz="4" w:space="0" w:color="000000"/>
              <w:left w:val="nil"/>
              <w:bottom w:val="single" w:sz="4" w:space="0" w:color="000000"/>
              <w:right w:val="single" w:sz="4" w:space="0" w:color="000000"/>
            </w:tcBorders>
            <w:shd w:val="clear" w:color="auto" w:fill="auto"/>
            <w:vAlign w:val="bottom"/>
            <w:hideMark/>
          </w:tcPr>
          <w:p w14:paraId="6934B8C5" w14:textId="77777777" w:rsidR="00D849B5" w:rsidRPr="0089139F" w:rsidRDefault="00D849B5" w:rsidP="00D849B5">
            <w:pPr>
              <w:jc w:val="cente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37</w:t>
            </w:r>
          </w:p>
        </w:tc>
        <w:tc>
          <w:tcPr>
            <w:tcW w:w="12845" w:type="dxa"/>
            <w:gridSpan w:val="3"/>
            <w:tcBorders>
              <w:top w:val="single" w:sz="4" w:space="0" w:color="000000"/>
              <w:left w:val="nil"/>
              <w:bottom w:val="single" w:sz="4" w:space="0" w:color="000000"/>
              <w:right w:val="single" w:sz="4" w:space="0" w:color="000000"/>
            </w:tcBorders>
            <w:shd w:val="clear" w:color="auto" w:fill="auto"/>
            <w:vAlign w:val="bottom"/>
            <w:hideMark/>
          </w:tcPr>
          <w:p w14:paraId="26A148B7"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Las instituciones del Sistema Nacional de Salud, a través de los Servicios de Salud de las entidades federativas, envían de manera oportuna la información para la integración de los boletines</w:t>
            </w:r>
          </w:p>
        </w:tc>
      </w:tr>
      <w:tr w:rsidR="00D849B5" w:rsidRPr="0089139F" w14:paraId="3AAC2DAC" w14:textId="77777777" w:rsidTr="00D849B5">
        <w:trPr>
          <w:trHeight w:val="408"/>
        </w:trPr>
        <w:tc>
          <w:tcPr>
            <w:tcW w:w="1367" w:type="dxa"/>
            <w:tcBorders>
              <w:top w:val="nil"/>
              <w:left w:val="single" w:sz="4" w:space="0" w:color="000000"/>
              <w:bottom w:val="single" w:sz="4" w:space="0" w:color="000000"/>
              <w:right w:val="single" w:sz="4" w:space="0" w:color="000000"/>
            </w:tcBorders>
            <w:shd w:val="clear" w:color="000000" w:fill="FFFFCC"/>
            <w:vAlign w:val="bottom"/>
            <w:hideMark/>
          </w:tcPr>
          <w:p w14:paraId="10726247"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Indicador</w:t>
            </w:r>
          </w:p>
        </w:tc>
        <w:tc>
          <w:tcPr>
            <w:tcW w:w="1419" w:type="dxa"/>
            <w:tcBorders>
              <w:top w:val="nil"/>
              <w:left w:val="nil"/>
              <w:bottom w:val="single" w:sz="4" w:space="0" w:color="000000"/>
              <w:right w:val="single" w:sz="4" w:space="0" w:color="000000"/>
            </w:tcBorders>
            <w:shd w:val="clear" w:color="000000" w:fill="FFFFCC"/>
            <w:vAlign w:val="bottom"/>
            <w:hideMark/>
          </w:tcPr>
          <w:p w14:paraId="0F30EF79"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Definición</w:t>
            </w:r>
          </w:p>
        </w:tc>
        <w:tc>
          <w:tcPr>
            <w:tcW w:w="1884" w:type="dxa"/>
            <w:tcBorders>
              <w:top w:val="nil"/>
              <w:left w:val="nil"/>
              <w:bottom w:val="single" w:sz="4" w:space="0" w:color="000000"/>
              <w:right w:val="single" w:sz="4" w:space="0" w:color="000000"/>
            </w:tcBorders>
            <w:shd w:val="clear" w:color="000000" w:fill="FFFFCC"/>
            <w:vAlign w:val="bottom"/>
            <w:hideMark/>
          </w:tcPr>
          <w:p w14:paraId="635FB8D7"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Método de Calculo</w:t>
            </w:r>
          </w:p>
        </w:tc>
        <w:tc>
          <w:tcPr>
            <w:tcW w:w="814" w:type="dxa"/>
            <w:tcBorders>
              <w:top w:val="nil"/>
              <w:left w:val="nil"/>
              <w:bottom w:val="single" w:sz="4" w:space="0" w:color="000000"/>
              <w:right w:val="single" w:sz="4" w:space="0" w:color="000000"/>
            </w:tcBorders>
            <w:shd w:val="clear" w:color="000000" w:fill="FFFFCC"/>
            <w:vAlign w:val="bottom"/>
            <w:hideMark/>
          </w:tcPr>
          <w:p w14:paraId="6A42FFAC" w14:textId="77777777" w:rsidR="00D849B5" w:rsidRPr="0089139F" w:rsidRDefault="00D849B5" w:rsidP="00D849B5">
            <w:pPr>
              <w:jc w:val="center"/>
              <w:rPr>
                <w:rFonts w:ascii="Noto Sans" w:eastAsia="Times New Roman" w:hAnsi="Noto Sans" w:cs="Noto Sans"/>
                <w:b/>
                <w:bCs/>
                <w:color w:val="000000"/>
                <w:sz w:val="16"/>
                <w:szCs w:val="16"/>
                <w:lang w:val="es-MX" w:eastAsia="en-US"/>
              </w:rPr>
            </w:pPr>
            <w:r w:rsidRPr="0089139F">
              <w:rPr>
                <w:rFonts w:ascii="Noto Sans" w:eastAsia="Times New Roman" w:hAnsi="Noto Sans" w:cs="Noto Sans"/>
                <w:b/>
                <w:bCs/>
                <w:color w:val="000000"/>
                <w:sz w:val="16"/>
                <w:szCs w:val="16"/>
                <w:lang w:val="es-MX" w:eastAsia="en-US"/>
              </w:rPr>
              <w:t>Tipo de Valor de la Meta</w:t>
            </w:r>
          </w:p>
        </w:tc>
        <w:tc>
          <w:tcPr>
            <w:tcW w:w="1021" w:type="dxa"/>
            <w:tcBorders>
              <w:top w:val="nil"/>
              <w:left w:val="nil"/>
              <w:bottom w:val="single" w:sz="4" w:space="0" w:color="000000"/>
              <w:right w:val="single" w:sz="4" w:space="0" w:color="000000"/>
            </w:tcBorders>
            <w:shd w:val="clear" w:color="000000" w:fill="FFFFCC"/>
            <w:vAlign w:val="bottom"/>
            <w:hideMark/>
          </w:tcPr>
          <w:p w14:paraId="27575515"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Unidad de Medida</w:t>
            </w:r>
          </w:p>
        </w:tc>
        <w:tc>
          <w:tcPr>
            <w:tcW w:w="1057" w:type="dxa"/>
            <w:tcBorders>
              <w:top w:val="nil"/>
              <w:left w:val="nil"/>
              <w:bottom w:val="single" w:sz="4" w:space="0" w:color="000000"/>
              <w:right w:val="single" w:sz="4" w:space="0" w:color="000000"/>
            </w:tcBorders>
            <w:shd w:val="clear" w:color="000000" w:fill="FFFFCC"/>
            <w:vAlign w:val="bottom"/>
            <w:hideMark/>
          </w:tcPr>
          <w:p w14:paraId="5C67DA2C"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Tipo de Indicador</w:t>
            </w:r>
          </w:p>
        </w:tc>
        <w:tc>
          <w:tcPr>
            <w:tcW w:w="1073" w:type="dxa"/>
            <w:tcBorders>
              <w:top w:val="nil"/>
              <w:left w:val="nil"/>
              <w:bottom w:val="single" w:sz="4" w:space="0" w:color="000000"/>
              <w:right w:val="single" w:sz="4" w:space="0" w:color="000000"/>
            </w:tcBorders>
            <w:shd w:val="clear" w:color="000000" w:fill="FFFFCC"/>
            <w:vAlign w:val="bottom"/>
            <w:hideMark/>
          </w:tcPr>
          <w:p w14:paraId="1729B822"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Dimensión del Indicador</w:t>
            </w:r>
          </w:p>
        </w:tc>
        <w:tc>
          <w:tcPr>
            <w:tcW w:w="1086" w:type="dxa"/>
            <w:tcBorders>
              <w:top w:val="nil"/>
              <w:left w:val="nil"/>
              <w:bottom w:val="single" w:sz="4" w:space="0" w:color="000000"/>
              <w:right w:val="single" w:sz="4" w:space="0" w:color="000000"/>
            </w:tcBorders>
            <w:shd w:val="clear" w:color="000000" w:fill="FFFFCC"/>
            <w:vAlign w:val="bottom"/>
            <w:hideMark/>
          </w:tcPr>
          <w:p w14:paraId="3689A447"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Frecuencia de Medición</w:t>
            </w:r>
          </w:p>
        </w:tc>
        <w:tc>
          <w:tcPr>
            <w:tcW w:w="10686" w:type="dxa"/>
            <w:tcBorders>
              <w:top w:val="nil"/>
              <w:left w:val="nil"/>
              <w:bottom w:val="single" w:sz="4" w:space="0" w:color="000000"/>
              <w:right w:val="single" w:sz="4" w:space="0" w:color="000000"/>
            </w:tcBorders>
            <w:shd w:val="clear" w:color="000000" w:fill="FFFFCC"/>
            <w:vAlign w:val="bottom"/>
            <w:hideMark/>
          </w:tcPr>
          <w:p w14:paraId="59700CE9"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Medios de Verificación</w:t>
            </w:r>
          </w:p>
        </w:tc>
      </w:tr>
      <w:tr w:rsidR="00D849B5" w:rsidRPr="0089139F" w14:paraId="78DD2C0A" w14:textId="77777777" w:rsidTr="00D849B5">
        <w:trPr>
          <w:trHeight w:val="2856"/>
        </w:trPr>
        <w:tc>
          <w:tcPr>
            <w:tcW w:w="1367" w:type="dxa"/>
            <w:tcBorders>
              <w:top w:val="nil"/>
              <w:left w:val="single" w:sz="4" w:space="0" w:color="000000"/>
              <w:bottom w:val="single" w:sz="4" w:space="0" w:color="000000"/>
              <w:right w:val="single" w:sz="4" w:space="0" w:color="000000"/>
            </w:tcBorders>
            <w:shd w:val="clear" w:color="000000" w:fill="FFFFFF"/>
            <w:vAlign w:val="bottom"/>
            <w:hideMark/>
          </w:tcPr>
          <w:p w14:paraId="7A60EFF4"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Información epidemiológica publicada</w:t>
            </w:r>
          </w:p>
        </w:tc>
        <w:tc>
          <w:tcPr>
            <w:tcW w:w="1419" w:type="dxa"/>
            <w:tcBorders>
              <w:top w:val="nil"/>
              <w:left w:val="nil"/>
              <w:bottom w:val="single" w:sz="4" w:space="0" w:color="000000"/>
              <w:right w:val="single" w:sz="4" w:space="0" w:color="000000"/>
            </w:tcBorders>
            <w:shd w:val="clear" w:color="000000" w:fill="FFFFFF"/>
            <w:vAlign w:val="bottom"/>
            <w:hideMark/>
          </w:tcPr>
          <w:p w14:paraId="73E266FD"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Comprueba la actualización y difusión de la información epidemiológica generada a través del análisis de los registros concentrados en el Sistema Nacional de Vigilancia Epidemiológica (SINAVE) sobre las enfermedades sujestas a vigilancia epidemiológica</w:t>
            </w:r>
          </w:p>
        </w:tc>
        <w:tc>
          <w:tcPr>
            <w:tcW w:w="1884" w:type="dxa"/>
            <w:tcBorders>
              <w:top w:val="nil"/>
              <w:left w:val="nil"/>
              <w:bottom w:val="single" w:sz="4" w:space="0" w:color="000000"/>
              <w:right w:val="single" w:sz="4" w:space="0" w:color="000000"/>
            </w:tcBorders>
            <w:shd w:val="clear" w:color="000000" w:fill="FFFFFF"/>
            <w:vAlign w:val="bottom"/>
            <w:hideMark/>
          </w:tcPr>
          <w:p w14:paraId="4F95E1C9"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(Semanas epidemiológicas con información epidemiológica publicada)/ (Semanas epidemiológicas anuales) X 100</w:t>
            </w:r>
          </w:p>
        </w:tc>
        <w:tc>
          <w:tcPr>
            <w:tcW w:w="814" w:type="dxa"/>
            <w:tcBorders>
              <w:top w:val="nil"/>
              <w:left w:val="nil"/>
              <w:bottom w:val="single" w:sz="4" w:space="0" w:color="000000"/>
              <w:right w:val="single" w:sz="4" w:space="0" w:color="000000"/>
            </w:tcBorders>
            <w:shd w:val="clear" w:color="000000" w:fill="FFFFFF"/>
            <w:vAlign w:val="bottom"/>
            <w:hideMark/>
          </w:tcPr>
          <w:p w14:paraId="4403A8D2"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Relativo</w:t>
            </w:r>
          </w:p>
        </w:tc>
        <w:tc>
          <w:tcPr>
            <w:tcW w:w="1021" w:type="dxa"/>
            <w:tcBorders>
              <w:top w:val="nil"/>
              <w:left w:val="nil"/>
              <w:bottom w:val="single" w:sz="4" w:space="0" w:color="000000"/>
              <w:right w:val="single" w:sz="4" w:space="0" w:color="000000"/>
            </w:tcBorders>
            <w:shd w:val="clear" w:color="000000" w:fill="FFFFFF"/>
            <w:vAlign w:val="bottom"/>
            <w:hideMark/>
          </w:tcPr>
          <w:p w14:paraId="5B706118"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Semana</w:t>
            </w:r>
          </w:p>
        </w:tc>
        <w:tc>
          <w:tcPr>
            <w:tcW w:w="1057" w:type="dxa"/>
            <w:tcBorders>
              <w:top w:val="nil"/>
              <w:left w:val="nil"/>
              <w:bottom w:val="single" w:sz="4" w:space="0" w:color="000000"/>
              <w:right w:val="single" w:sz="4" w:space="0" w:color="000000"/>
            </w:tcBorders>
            <w:shd w:val="clear" w:color="000000" w:fill="FFFFFF"/>
            <w:vAlign w:val="bottom"/>
            <w:hideMark/>
          </w:tcPr>
          <w:p w14:paraId="0149C9A3"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Estratégico</w:t>
            </w:r>
          </w:p>
        </w:tc>
        <w:tc>
          <w:tcPr>
            <w:tcW w:w="1073" w:type="dxa"/>
            <w:tcBorders>
              <w:top w:val="nil"/>
              <w:left w:val="nil"/>
              <w:bottom w:val="single" w:sz="4" w:space="0" w:color="000000"/>
              <w:right w:val="single" w:sz="4" w:space="0" w:color="000000"/>
            </w:tcBorders>
            <w:shd w:val="clear" w:color="000000" w:fill="FFFFFF"/>
            <w:vAlign w:val="bottom"/>
            <w:hideMark/>
          </w:tcPr>
          <w:p w14:paraId="06C9259F"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Eficiencia</w:t>
            </w:r>
          </w:p>
        </w:tc>
        <w:tc>
          <w:tcPr>
            <w:tcW w:w="1086" w:type="dxa"/>
            <w:tcBorders>
              <w:top w:val="nil"/>
              <w:left w:val="nil"/>
              <w:bottom w:val="single" w:sz="4" w:space="0" w:color="000000"/>
              <w:right w:val="single" w:sz="4" w:space="0" w:color="000000"/>
            </w:tcBorders>
            <w:shd w:val="clear" w:color="000000" w:fill="FFFFFF"/>
            <w:vAlign w:val="bottom"/>
            <w:hideMark/>
          </w:tcPr>
          <w:p w14:paraId="6DB4E91A"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Trimestral</w:t>
            </w:r>
          </w:p>
        </w:tc>
        <w:tc>
          <w:tcPr>
            <w:tcW w:w="10686" w:type="dxa"/>
            <w:tcBorders>
              <w:top w:val="nil"/>
              <w:left w:val="nil"/>
              <w:bottom w:val="single" w:sz="4" w:space="0" w:color="000000"/>
              <w:right w:val="single" w:sz="4" w:space="0" w:color="000000"/>
            </w:tcBorders>
            <w:shd w:val="clear" w:color="000000" w:fill="FFFFFF"/>
            <w:vAlign w:val="bottom"/>
            <w:hideMark/>
          </w:tcPr>
          <w:p w14:paraId="505F7375"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Información epidemiológica publicada:Informes publicados semanalmente en la página oficial de la Secretaría de Salud</w:t>
            </w:r>
          </w:p>
        </w:tc>
      </w:tr>
      <w:tr w:rsidR="00D849B5" w:rsidRPr="0089139F" w14:paraId="158EDF2F" w14:textId="77777777" w:rsidTr="00D849B5">
        <w:trPr>
          <w:trHeight w:val="210"/>
        </w:trPr>
        <w:tc>
          <w:tcPr>
            <w:tcW w:w="20407" w:type="dxa"/>
            <w:gridSpan w:val="9"/>
            <w:tcBorders>
              <w:top w:val="single" w:sz="4" w:space="0" w:color="000000"/>
              <w:left w:val="single" w:sz="4" w:space="0" w:color="000000"/>
              <w:bottom w:val="single" w:sz="4" w:space="0" w:color="000000"/>
              <w:right w:val="single" w:sz="4" w:space="0" w:color="000000"/>
            </w:tcBorders>
            <w:shd w:val="clear" w:color="000000" w:fill="000080"/>
            <w:vAlign w:val="bottom"/>
            <w:hideMark/>
          </w:tcPr>
          <w:p w14:paraId="57EF61FC" w14:textId="77777777" w:rsidR="00D849B5" w:rsidRPr="0089139F" w:rsidRDefault="00D849B5" w:rsidP="00D849B5">
            <w:pPr>
              <w:jc w:val="center"/>
              <w:rPr>
                <w:rFonts w:ascii="Noto Sans" w:eastAsia="Times New Roman" w:hAnsi="Noto Sans" w:cs="Noto Sans"/>
                <w:b/>
                <w:bCs/>
                <w:color w:val="FFFFFF"/>
                <w:sz w:val="16"/>
                <w:szCs w:val="16"/>
                <w:lang w:val="en-US" w:eastAsia="en-US"/>
              </w:rPr>
            </w:pPr>
            <w:r w:rsidRPr="0089139F">
              <w:rPr>
                <w:rFonts w:ascii="Noto Sans" w:eastAsia="Times New Roman" w:hAnsi="Noto Sans" w:cs="Noto Sans"/>
                <w:b/>
                <w:bCs/>
                <w:color w:val="FFFFFF"/>
                <w:sz w:val="16"/>
                <w:szCs w:val="16"/>
                <w:lang w:val="en-US" w:eastAsia="en-US"/>
              </w:rPr>
              <w:t>Actividad</w:t>
            </w:r>
          </w:p>
        </w:tc>
      </w:tr>
      <w:tr w:rsidR="00D849B5" w:rsidRPr="0089139F" w14:paraId="21E84624" w14:textId="77777777" w:rsidTr="00D849B5">
        <w:trPr>
          <w:trHeight w:val="210"/>
        </w:trPr>
        <w:tc>
          <w:tcPr>
            <w:tcW w:w="4670" w:type="dxa"/>
            <w:gridSpan w:val="3"/>
            <w:tcBorders>
              <w:top w:val="single" w:sz="4" w:space="0" w:color="000000"/>
              <w:left w:val="single" w:sz="4" w:space="0" w:color="000000"/>
              <w:bottom w:val="single" w:sz="4" w:space="0" w:color="000000"/>
              <w:right w:val="single" w:sz="4" w:space="0" w:color="000000"/>
            </w:tcBorders>
            <w:shd w:val="clear" w:color="000000" w:fill="99CCFF"/>
            <w:vAlign w:val="bottom"/>
            <w:hideMark/>
          </w:tcPr>
          <w:p w14:paraId="2514D15D"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Objetivo</w:t>
            </w:r>
          </w:p>
        </w:tc>
        <w:tc>
          <w:tcPr>
            <w:tcW w:w="2892"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2AB0949C"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Orden</w:t>
            </w:r>
          </w:p>
        </w:tc>
        <w:tc>
          <w:tcPr>
            <w:tcW w:w="12845"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5341E483"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Supuestos</w:t>
            </w:r>
          </w:p>
        </w:tc>
      </w:tr>
      <w:tr w:rsidR="00D849B5" w:rsidRPr="0089139F" w14:paraId="05CA17C0" w14:textId="77777777" w:rsidTr="00D849B5">
        <w:trPr>
          <w:trHeight w:val="1050"/>
        </w:trPr>
        <w:tc>
          <w:tcPr>
            <w:tcW w:w="4670"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6D790AB"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Actualizar al personal de salud de las entidades federativas, a través de la capacitación continua sobre los padecimientos sujetos a vigilancia epidemiológica, para un diagnóstico y tratamiento oportunos, así como para la operación de los programas de acción específicos.</w:t>
            </w:r>
          </w:p>
        </w:tc>
        <w:tc>
          <w:tcPr>
            <w:tcW w:w="2892" w:type="dxa"/>
            <w:gridSpan w:val="3"/>
            <w:tcBorders>
              <w:top w:val="single" w:sz="4" w:space="0" w:color="000000"/>
              <w:left w:val="nil"/>
              <w:bottom w:val="single" w:sz="4" w:space="0" w:color="000000"/>
              <w:right w:val="single" w:sz="4" w:space="0" w:color="000000"/>
            </w:tcBorders>
            <w:shd w:val="clear" w:color="auto" w:fill="auto"/>
            <w:vAlign w:val="bottom"/>
            <w:hideMark/>
          </w:tcPr>
          <w:p w14:paraId="76D5D5CC" w14:textId="77777777" w:rsidR="00D849B5" w:rsidRPr="0089139F" w:rsidRDefault="00D849B5" w:rsidP="00D849B5">
            <w:pPr>
              <w:jc w:val="cente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1</w:t>
            </w:r>
          </w:p>
        </w:tc>
        <w:tc>
          <w:tcPr>
            <w:tcW w:w="12845" w:type="dxa"/>
            <w:gridSpan w:val="3"/>
            <w:tcBorders>
              <w:top w:val="single" w:sz="4" w:space="0" w:color="000000"/>
              <w:left w:val="nil"/>
              <w:bottom w:val="single" w:sz="4" w:space="0" w:color="000000"/>
              <w:right w:val="single" w:sz="4" w:space="0" w:color="000000"/>
            </w:tcBorders>
            <w:shd w:val="clear" w:color="auto" w:fill="auto"/>
            <w:vAlign w:val="bottom"/>
            <w:hideMark/>
          </w:tcPr>
          <w:p w14:paraId="0477DF9C"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El personal de salud de las entidades federativas se encuentra capacitado en materia de prevención, promoción y control de enfermedades sujetas a vigilancia epidemiológica y se encuentra actualizado en el marco de las estrategias de eliminación de la lepra y el paludismo, como problemas de Salud Pública.</w:t>
            </w:r>
          </w:p>
        </w:tc>
      </w:tr>
      <w:tr w:rsidR="00D849B5" w:rsidRPr="0089139F" w14:paraId="32AAA39F" w14:textId="77777777" w:rsidTr="00D849B5">
        <w:trPr>
          <w:trHeight w:val="408"/>
        </w:trPr>
        <w:tc>
          <w:tcPr>
            <w:tcW w:w="1367" w:type="dxa"/>
            <w:tcBorders>
              <w:top w:val="nil"/>
              <w:left w:val="single" w:sz="4" w:space="0" w:color="000000"/>
              <w:bottom w:val="single" w:sz="4" w:space="0" w:color="000000"/>
              <w:right w:val="single" w:sz="4" w:space="0" w:color="000000"/>
            </w:tcBorders>
            <w:shd w:val="clear" w:color="000000" w:fill="FFFFCC"/>
            <w:vAlign w:val="bottom"/>
            <w:hideMark/>
          </w:tcPr>
          <w:p w14:paraId="34FDDD71"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Indicador</w:t>
            </w:r>
          </w:p>
        </w:tc>
        <w:tc>
          <w:tcPr>
            <w:tcW w:w="1419" w:type="dxa"/>
            <w:tcBorders>
              <w:top w:val="nil"/>
              <w:left w:val="nil"/>
              <w:bottom w:val="single" w:sz="4" w:space="0" w:color="000000"/>
              <w:right w:val="single" w:sz="4" w:space="0" w:color="000000"/>
            </w:tcBorders>
            <w:shd w:val="clear" w:color="000000" w:fill="FFFFCC"/>
            <w:vAlign w:val="bottom"/>
            <w:hideMark/>
          </w:tcPr>
          <w:p w14:paraId="0A2516D7"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Definición</w:t>
            </w:r>
          </w:p>
        </w:tc>
        <w:tc>
          <w:tcPr>
            <w:tcW w:w="1884" w:type="dxa"/>
            <w:tcBorders>
              <w:top w:val="nil"/>
              <w:left w:val="nil"/>
              <w:bottom w:val="single" w:sz="4" w:space="0" w:color="000000"/>
              <w:right w:val="single" w:sz="4" w:space="0" w:color="000000"/>
            </w:tcBorders>
            <w:shd w:val="clear" w:color="000000" w:fill="FFFFCC"/>
            <w:vAlign w:val="bottom"/>
            <w:hideMark/>
          </w:tcPr>
          <w:p w14:paraId="4BE9E0F7"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Método de Calculo</w:t>
            </w:r>
          </w:p>
        </w:tc>
        <w:tc>
          <w:tcPr>
            <w:tcW w:w="814" w:type="dxa"/>
            <w:tcBorders>
              <w:top w:val="nil"/>
              <w:left w:val="nil"/>
              <w:bottom w:val="single" w:sz="4" w:space="0" w:color="000000"/>
              <w:right w:val="single" w:sz="4" w:space="0" w:color="000000"/>
            </w:tcBorders>
            <w:shd w:val="clear" w:color="000000" w:fill="FFFFCC"/>
            <w:vAlign w:val="bottom"/>
            <w:hideMark/>
          </w:tcPr>
          <w:p w14:paraId="666839AC" w14:textId="77777777" w:rsidR="00D849B5" w:rsidRPr="0089139F" w:rsidRDefault="00D849B5" w:rsidP="00D849B5">
            <w:pPr>
              <w:jc w:val="center"/>
              <w:rPr>
                <w:rFonts w:ascii="Noto Sans" w:eastAsia="Times New Roman" w:hAnsi="Noto Sans" w:cs="Noto Sans"/>
                <w:b/>
                <w:bCs/>
                <w:color w:val="000000"/>
                <w:sz w:val="16"/>
                <w:szCs w:val="16"/>
                <w:lang w:val="es-MX" w:eastAsia="en-US"/>
              </w:rPr>
            </w:pPr>
            <w:r w:rsidRPr="0089139F">
              <w:rPr>
                <w:rFonts w:ascii="Noto Sans" w:eastAsia="Times New Roman" w:hAnsi="Noto Sans" w:cs="Noto Sans"/>
                <w:b/>
                <w:bCs/>
                <w:color w:val="000000"/>
                <w:sz w:val="16"/>
                <w:szCs w:val="16"/>
                <w:lang w:val="es-MX" w:eastAsia="en-US"/>
              </w:rPr>
              <w:t>Tipo de Valor de la Meta</w:t>
            </w:r>
          </w:p>
        </w:tc>
        <w:tc>
          <w:tcPr>
            <w:tcW w:w="1021" w:type="dxa"/>
            <w:tcBorders>
              <w:top w:val="nil"/>
              <w:left w:val="nil"/>
              <w:bottom w:val="single" w:sz="4" w:space="0" w:color="000000"/>
              <w:right w:val="single" w:sz="4" w:space="0" w:color="000000"/>
            </w:tcBorders>
            <w:shd w:val="clear" w:color="000000" w:fill="FFFFCC"/>
            <w:vAlign w:val="bottom"/>
            <w:hideMark/>
          </w:tcPr>
          <w:p w14:paraId="47796270"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Unidad de Medida</w:t>
            </w:r>
          </w:p>
        </w:tc>
        <w:tc>
          <w:tcPr>
            <w:tcW w:w="1057" w:type="dxa"/>
            <w:tcBorders>
              <w:top w:val="nil"/>
              <w:left w:val="nil"/>
              <w:bottom w:val="single" w:sz="4" w:space="0" w:color="000000"/>
              <w:right w:val="single" w:sz="4" w:space="0" w:color="000000"/>
            </w:tcBorders>
            <w:shd w:val="clear" w:color="000000" w:fill="FFFFCC"/>
            <w:vAlign w:val="bottom"/>
            <w:hideMark/>
          </w:tcPr>
          <w:p w14:paraId="16C22C32"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Tipo de Indicador</w:t>
            </w:r>
          </w:p>
        </w:tc>
        <w:tc>
          <w:tcPr>
            <w:tcW w:w="1073" w:type="dxa"/>
            <w:tcBorders>
              <w:top w:val="nil"/>
              <w:left w:val="nil"/>
              <w:bottom w:val="single" w:sz="4" w:space="0" w:color="000000"/>
              <w:right w:val="single" w:sz="4" w:space="0" w:color="000000"/>
            </w:tcBorders>
            <w:shd w:val="clear" w:color="000000" w:fill="FFFFCC"/>
            <w:vAlign w:val="bottom"/>
            <w:hideMark/>
          </w:tcPr>
          <w:p w14:paraId="322634E9"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Dimensión del Indicador</w:t>
            </w:r>
          </w:p>
        </w:tc>
        <w:tc>
          <w:tcPr>
            <w:tcW w:w="1086" w:type="dxa"/>
            <w:tcBorders>
              <w:top w:val="nil"/>
              <w:left w:val="nil"/>
              <w:bottom w:val="single" w:sz="4" w:space="0" w:color="000000"/>
              <w:right w:val="single" w:sz="4" w:space="0" w:color="000000"/>
            </w:tcBorders>
            <w:shd w:val="clear" w:color="000000" w:fill="FFFFCC"/>
            <w:vAlign w:val="bottom"/>
            <w:hideMark/>
          </w:tcPr>
          <w:p w14:paraId="7EC891B4"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Frecuencia de Medición</w:t>
            </w:r>
          </w:p>
        </w:tc>
        <w:tc>
          <w:tcPr>
            <w:tcW w:w="10686" w:type="dxa"/>
            <w:tcBorders>
              <w:top w:val="nil"/>
              <w:left w:val="nil"/>
              <w:bottom w:val="single" w:sz="4" w:space="0" w:color="000000"/>
              <w:right w:val="single" w:sz="4" w:space="0" w:color="000000"/>
            </w:tcBorders>
            <w:shd w:val="clear" w:color="000000" w:fill="FFFFCC"/>
            <w:vAlign w:val="bottom"/>
            <w:hideMark/>
          </w:tcPr>
          <w:p w14:paraId="6F8A9608"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Medios de Verificación</w:t>
            </w:r>
          </w:p>
        </w:tc>
      </w:tr>
      <w:tr w:rsidR="00D849B5" w:rsidRPr="0089139F" w14:paraId="6B24BAC3" w14:textId="77777777" w:rsidTr="00D849B5">
        <w:trPr>
          <w:trHeight w:val="3060"/>
        </w:trPr>
        <w:tc>
          <w:tcPr>
            <w:tcW w:w="1367" w:type="dxa"/>
            <w:tcBorders>
              <w:top w:val="nil"/>
              <w:left w:val="single" w:sz="4" w:space="0" w:color="000000"/>
              <w:bottom w:val="single" w:sz="4" w:space="0" w:color="000000"/>
              <w:right w:val="single" w:sz="4" w:space="0" w:color="000000"/>
            </w:tcBorders>
            <w:shd w:val="clear" w:color="000000" w:fill="FFFFFF"/>
            <w:vAlign w:val="bottom"/>
            <w:hideMark/>
          </w:tcPr>
          <w:p w14:paraId="5753E832"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Cobertura de capacitación sobre enfermedades infecciosas y transmisibles</w:t>
            </w:r>
          </w:p>
        </w:tc>
        <w:tc>
          <w:tcPr>
            <w:tcW w:w="1419" w:type="dxa"/>
            <w:tcBorders>
              <w:top w:val="nil"/>
              <w:left w:val="nil"/>
              <w:bottom w:val="single" w:sz="4" w:space="0" w:color="000000"/>
              <w:right w:val="single" w:sz="4" w:space="0" w:color="000000"/>
            </w:tcBorders>
            <w:shd w:val="clear" w:color="000000" w:fill="FFFFFF"/>
            <w:vAlign w:val="bottom"/>
            <w:hideMark/>
          </w:tcPr>
          <w:p w14:paraId="48FFB369"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Se refiere al número de eventos de capacitación realizados y coordinados por los Programas de Acción Específicos bajo la responsabilidad del Centro Nacional de Programas Preventivos y Control de Enfermedades (CENAPRECE), para la operación de los mismos en los niveles estatal, jurisdiccional y/o local.</w:t>
            </w:r>
          </w:p>
        </w:tc>
        <w:tc>
          <w:tcPr>
            <w:tcW w:w="1884" w:type="dxa"/>
            <w:tcBorders>
              <w:top w:val="nil"/>
              <w:left w:val="nil"/>
              <w:bottom w:val="single" w:sz="4" w:space="0" w:color="000000"/>
              <w:right w:val="single" w:sz="4" w:space="0" w:color="000000"/>
            </w:tcBorders>
            <w:shd w:val="clear" w:color="000000" w:fill="FFFFFF"/>
            <w:vAlign w:val="bottom"/>
            <w:hideMark/>
          </w:tcPr>
          <w:p w14:paraId="1492968B"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(Número de eventos de capacitación realizados por el CENAPRECE)/(Número de eventos de capacitación programados) X 100</w:t>
            </w:r>
          </w:p>
        </w:tc>
        <w:tc>
          <w:tcPr>
            <w:tcW w:w="814" w:type="dxa"/>
            <w:tcBorders>
              <w:top w:val="nil"/>
              <w:left w:val="nil"/>
              <w:bottom w:val="single" w:sz="4" w:space="0" w:color="000000"/>
              <w:right w:val="single" w:sz="4" w:space="0" w:color="000000"/>
            </w:tcBorders>
            <w:shd w:val="clear" w:color="000000" w:fill="FFFFFF"/>
            <w:vAlign w:val="bottom"/>
            <w:hideMark/>
          </w:tcPr>
          <w:p w14:paraId="56A60C57"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Relativo</w:t>
            </w:r>
          </w:p>
        </w:tc>
        <w:tc>
          <w:tcPr>
            <w:tcW w:w="1021" w:type="dxa"/>
            <w:tcBorders>
              <w:top w:val="nil"/>
              <w:left w:val="nil"/>
              <w:bottom w:val="single" w:sz="4" w:space="0" w:color="000000"/>
              <w:right w:val="single" w:sz="4" w:space="0" w:color="000000"/>
            </w:tcBorders>
            <w:shd w:val="clear" w:color="000000" w:fill="FFFFFF"/>
            <w:vAlign w:val="bottom"/>
            <w:hideMark/>
          </w:tcPr>
          <w:p w14:paraId="3B344823"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Porcentaje</w:t>
            </w:r>
          </w:p>
        </w:tc>
        <w:tc>
          <w:tcPr>
            <w:tcW w:w="1057" w:type="dxa"/>
            <w:tcBorders>
              <w:top w:val="nil"/>
              <w:left w:val="nil"/>
              <w:bottom w:val="single" w:sz="4" w:space="0" w:color="000000"/>
              <w:right w:val="single" w:sz="4" w:space="0" w:color="000000"/>
            </w:tcBorders>
            <w:shd w:val="clear" w:color="000000" w:fill="FFFFFF"/>
            <w:vAlign w:val="bottom"/>
            <w:hideMark/>
          </w:tcPr>
          <w:p w14:paraId="5FC03B15"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Gestión</w:t>
            </w:r>
          </w:p>
        </w:tc>
        <w:tc>
          <w:tcPr>
            <w:tcW w:w="1073" w:type="dxa"/>
            <w:tcBorders>
              <w:top w:val="nil"/>
              <w:left w:val="nil"/>
              <w:bottom w:val="single" w:sz="4" w:space="0" w:color="000000"/>
              <w:right w:val="single" w:sz="4" w:space="0" w:color="000000"/>
            </w:tcBorders>
            <w:shd w:val="clear" w:color="000000" w:fill="FFFFFF"/>
            <w:vAlign w:val="bottom"/>
            <w:hideMark/>
          </w:tcPr>
          <w:p w14:paraId="6CA782B2"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Eficacia</w:t>
            </w:r>
          </w:p>
        </w:tc>
        <w:tc>
          <w:tcPr>
            <w:tcW w:w="1086" w:type="dxa"/>
            <w:tcBorders>
              <w:top w:val="nil"/>
              <w:left w:val="nil"/>
              <w:bottom w:val="single" w:sz="4" w:space="0" w:color="000000"/>
              <w:right w:val="single" w:sz="4" w:space="0" w:color="000000"/>
            </w:tcBorders>
            <w:shd w:val="clear" w:color="000000" w:fill="FFFFFF"/>
            <w:vAlign w:val="bottom"/>
            <w:hideMark/>
          </w:tcPr>
          <w:p w14:paraId="714DE058"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Trimestral</w:t>
            </w:r>
          </w:p>
        </w:tc>
        <w:tc>
          <w:tcPr>
            <w:tcW w:w="10686" w:type="dxa"/>
            <w:tcBorders>
              <w:top w:val="nil"/>
              <w:left w:val="nil"/>
              <w:bottom w:val="single" w:sz="4" w:space="0" w:color="000000"/>
              <w:right w:val="single" w:sz="4" w:space="0" w:color="000000"/>
            </w:tcBorders>
            <w:shd w:val="clear" w:color="000000" w:fill="FFFFFF"/>
            <w:vAlign w:val="bottom"/>
            <w:hideMark/>
          </w:tcPr>
          <w:p w14:paraId="53A48F92"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(Variable 1 Eventos de capacitación realizados) (Variable 2 Eventos de capacitación programados):Agenda del Evento y Listas de Asistencia</w:t>
            </w:r>
          </w:p>
        </w:tc>
      </w:tr>
      <w:tr w:rsidR="00D849B5" w:rsidRPr="0089139F" w14:paraId="707C3181" w14:textId="77777777" w:rsidTr="00D849B5">
        <w:trPr>
          <w:trHeight w:val="210"/>
        </w:trPr>
        <w:tc>
          <w:tcPr>
            <w:tcW w:w="4670" w:type="dxa"/>
            <w:gridSpan w:val="3"/>
            <w:tcBorders>
              <w:top w:val="single" w:sz="4" w:space="0" w:color="000000"/>
              <w:left w:val="single" w:sz="4" w:space="0" w:color="000000"/>
              <w:bottom w:val="single" w:sz="4" w:space="0" w:color="000000"/>
              <w:right w:val="single" w:sz="4" w:space="0" w:color="000000"/>
            </w:tcBorders>
            <w:shd w:val="clear" w:color="000000" w:fill="99CCFF"/>
            <w:vAlign w:val="bottom"/>
            <w:hideMark/>
          </w:tcPr>
          <w:p w14:paraId="7B1DCC2A"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Objetivo</w:t>
            </w:r>
          </w:p>
        </w:tc>
        <w:tc>
          <w:tcPr>
            <w:tcW w:w="2892"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412E54E1"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Orden</w:t>
            </w:r>
          </w:p>
        </w:tc>
        <w:tc>
          <w:tcPr>
            <w:tcW w:w="12845"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297B0BB0"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Supuestos</w:t>
            </w:r>
          </w:p>
        </w:tc>
      </w:tr>
      <w:tr w:rsidR="00D849B5" w:rsidRPr="0089139F" w14:paraId="004B8944" w14:textId="77777777" w:rsidTr="00D849B5">
        <w:trPr>
          <w:trHeight w:val="630"/>
        </w:trPr>
        <w:tc>
          <w:tcPr>
            <w:tcW w:w="4670"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7842882"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Mantener la actualización continua del personal encargado del Sistema Nacional de Vigilancia Epidemiológica (SINAVE) en el país.</w:t>
            </w:r>
          </w:p>
        </w:tc>
        <w:tc>
          <w:tcPr>
            <w:tcW w:w="2892" w:type="dxa"/>
            <w:gridSpan w:val="3"/>
            <w:tcBorders>
              <w:top w:val="single" w:sz="4" w:space="0" w:color="000000"/>
              <w:left w:val="nil"/>
              <w:bottom w:val="single" w:sz="4" w:space="0" w:color="000000"/>
              <w:right w:val="single" w:sz="4" w:space="0" w:color="000000"/>
            </w:tcBorders>
            <w:shd w:val="clear" w:color="auto" w:fill="auto"/>
            <w:vAlign w:val="bottom"/>
            <w:hideMark/>
          </w:tcPr>
          <w:p w14:paraId="5412ECCD" w14:textId="77777777" w:rsidR="00D849B5" w:rsidRPr="0089139F" w:rsidRDefault="00D849B5" w:rsidP="00D849B5">
            <w:pPr>
              <w:jc w:val="cente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4</w:t>
            </w:r>
          </w:p>
        </w:tc>
        <w:tc>
          <w:tcPr>
            <w:tcW w:w="12845" w:type="dxa"/>
            <w:gridSpan w:val="3"/>
            <w:tcBorders>
              <w:top w:val="single" w:sz="4" w:space="0" w:color="000000"/>
              <w:left w:val="nil"/>
              <w:bottom w:val="single" w:sz="4" w:space="0" w:color="000000"/>
              <w:right w:val="single" w:sz="4" w:space="0" w:color="000000"/>
            </w:tcBorders>
            <w:shd w:val="clear" w:color="auto" w:fill="auto"/>
            <w:vAlign w:val="bottom"/>
            <w:hideMark/>
          </w:tcPr>
          <w:p w14:paraId="75134BB0"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El personal del sistema nacional de vigilancia epidemiológica en las entidades federativas se encuentra actualizado sobre los procesos del área.</w:t>
            </w:r>
          </w:p>
        </w:tc>
      </w:tr>
      <w:tr w:rsidR="00D849B5" w:rsidRPr="0089139F" w14:paraId="3622B485" w14:textId="77777777" w:rsidTr="00D849B5">
        <w:trPr>
          <w:trHeight w:val="408"/>
        </w:trPr>
        <w:tc>
          <w:tcPr>
            <w:tcW w:w="1367" w:type="dxa"/>
            <w:tcBorders>
              <w:top w:val="nil"/>
              <w:left w:val="single" w:sz="4" w:space="0" w:color="000000"/>
              <w:bottom w:val="single" w:sz="4" w:space="0" w:color="000000"/>
              <w:right w:val="single" w:sz="4" w:space="0" w:color="000000"/>
            </w:tcBorders>
            <w:shd w:val="clear" w:color="000000" w:fill="FFFFCC"/>
            <w:vAlign w:val="bottom"/>
            <w:hideMark/>
          </w:tcPr>
          <w:p w14:paraId="6CDD9F96"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Indicador</w:t>
            </w:r>
          </w:p>
        </w:tc>
        <w:tc>
          <w:tcPr>
            <w:tcW w:w="1419" w:type="dxa"/>
            <w:tcBorders>
              <w:top w:val="nil"/>
              <w:left w:val="nil"/>
              <w:bottom w:val="single" w:sz="4" w:space="0" w:color="000000"/>
              <w:right w:val="single" w:sz="4" w:space="0" w:color="000000"/>
            </w:tcBorders>
            <w:shd w:val="clear" w:color="000000" w:fill="FFFFCC"/>
            <w:vAlign w:val="bottom"/>
            <w:hideMark/>
          </w:tcPr>
          <w:p w14:paraId="0D402BF1"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Definición</w:t>
            </w:r>
          </w:p>
        </w:tc>
        <w:tc>
          <w:tcPr>
            <w:tcW w:w="1884" w:type="dxa"/>
            <w:tcBorders>
              <w:top w:val="nil"/>
              <w:left w:val="nil"/>
              <w:bottom w:val="single" w:sz="4" w:space="0" w:color="000000"/>
              <w:right w:val="single" w:sz="4" w:space="0" w:color="000000"/>
            </w:tcBorders>
            <w:shd w:val="clear" w:color="000000" w:fill="FFFFCC"/>
            <w:vAlign w:val="bottom"/>
            <w:hideMark/>
          </w:tcPr>
          <w:p w14:paraId="71E2745F"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Método de Calculo</w:t>
            </w:r>
          </w:p>
        </w:tc>
        <w:tc>
          <w:tcPr>
            <w:tcW w:w="814" w:type="dxa"/>
            <w:tcBorders>
              <w:top w:val="nil"/>
              <w:left w:val="nil"/>
              <w:bottom w:val="single" w:sz="4" w:space="0" w:color="000000"/>
              <w:right w:val="single" w:sz="4" w:space="0" w:color="000000"/>
            </w:tcBorders>
            <w:shd w:val="clear" w:color="000000" w:fill="FFFFCC"/>
            <w:vAlign w:val="bottom"/>
            <w:hideMark/>
          </w:tcPr>
          <w:p w14:paraId="179746B7" w14:textId="77777777" w:rsidR="00D849B5" w:rsidRPr="0089139F" w:rsidRDefault="00D849B5" w:rsidP="00D849B5">
            <w:pPr>
              <w:jc w:val="center"/>
              <w:rPr>
                <w:rFonts w:ascii="Noto Sans" w:eastAsia="Times New Roman" w:hAnsi="Noto Sans" w:cs="Noto Sans"/>
                <w:b/>
                <w:bCs/>
                <w:color w:val="000000"/>
                <w:sz w:val="16"/>
                <w:szCs w:val="16"/>
                <w:lang w:val="es-MX" w:eastAsia="en-US"/>
              </w:rPr>
            </w:pPr>
            <w:r w:rsidRPr="0089139F">
              <w:rPr>
                <w:rFonts w:ascii="Noto Sans" w:eastAsia="Times New Roman" w:hAnsi="Noto Sans" w:cs="Noto Sans"/>
                <w:b/>
                <w:bCs/>
                <w:color w:val="000000"/>
                <w:sz w:val="16"/>
                <w:szCs w:val="16"/>
                <w:lang w:val="es-MX" w:eastAsia="en-US"/>
              </w:rPr>
              <w:t>Tipo de Valor de la Meta</w:t>
            </w:r>
          </w:p>
        </w:tc>
        <w:tc>
          <w:tcPr>
            <w:tcW w:w="1021" w:type="dxa"/>
            <w:tcBorders>
              <w:top w:val="nil"/>
              <w:left w:val="nil"/>
              <w:bottom w:val="single" w:sz="4" w:space="0" w:color="000000"/>
              <w:right w:val="single" w:sz="4" w:space="0" w:color="000000"/>
            </w:tcBorders>
            <w:shd w:val="clear" w:color="000000" w:fill="FFFFCC"/>
            <w:vAlign w:val="bottom"/>
            <w:hideMark/>
          </w:tcPr>
          <w:p w14:paraId="2180AB08"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Unidad de Medida</w:t>
            </w:r>
          </w:p>
        </w:tc>
        <w:tc>
          <w:tcPr>
            <w:tcW w:w="1057" w:type="dxa"/>
            <w:tcBorders>
              <w:top w:val="nil"/>
              <w:left w:val="nil"/>
              <w:bottom w:val="single" w:sz="4" w:space="0" w:color="000000"/>
              <w:right w:val="single" w:sz="4" w:space="0" w:color="000000"/>
            </w:tcBorders>
            <w:shd w:val="clear" w:color="000000" w:fill="FFFFCC"/>
            <w:vAlign w:val="bottom"/>
            <w:hideMark/>
          </w:tcPr>
          <w:p w14:paraId="602E0F7F"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Tipo de Indicador</w:t>
            </w:r>
          </w:p>
        </w:tc>
        <w:tc>
          <w:tcPr>
            <w:tcW w:w="1073" w:type="dxa"/>
            <w:tcBorders>
              <w:top w:val="nil"/>
              <w:left w:val="nil"/>
              <w:bottom w:val="single" w:sz="4" w:space="0" w:color="000000"/>
              <w:right w:val="single" w:sz="4" w:space="0" w:color="000000"/>
            </w:tcBorders>
            <w:shd w:val="clear" w:color="000000" w:fill="FFFFCC"/>
            <w:vAlign w:val="bottom"/>
            <w:hideMark/>
          </w:tcPr>
          <w:p w14:paraId="621560D0"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Dimensión del Indicador</w:t>
            </w:r>
          </w:p>
        </w:tc>
        <w:tc>
          <w:tcPr>
            <w:tcW w:w="1086" w:type="dxa"/>
            <w:tcBorders>
              <w:top w:val="nil"/>
              <w:left w:val="nil"/>
              <w:bottom w:val="single" w:sz="4" w:space="0" w:color="000000"/>
              <w:right w:val="single" w:sz="4" w:space="0" w:color="000000"/>
            </w:tcBorders>
            <w:shd w:val="clear" w:color="000000" w:fill="FFFFCC"/>
            <w:vAlign w:val="bottom"/>
            <w:hideMark/>
          </w:tcPr>
          <w:p w14:paraId="692FF80E"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Frecuencia de Medición</w:t>
            </w:r>
          </w:p>
        </w:tc>
        <w:tc>
          <w:tcPr>
            <w:tcW w:w="10686" w:type="dxa"/>
            <w:tcBorders>
              <w:top w:val="nil"/>
              <w:left w:val="nil"/>
              <w:bottom w:val="single" w:sz="4" w:space="0" w:color="000000"/>
              <w:right w:val="single" w:sz="4" w:space="0" w:color="000000"/>
            </w:tcBorders>
            <w:shd w:val="clear" w:color="000000" w:fill="FFFFCC"/>
            <w:vAlign w:val="bottom"/>
            <w:hideMark/>
          </w:tcPr>
          <w:p w14:paraId="704C31E3"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Medios de Verificación</w:t>
            </w:r>
          </w:p>
        </w:tc>
      </w:tr>
      <w:tr w:rsidR="00D849B5" w:rsidRPr="0089139F" w14:paraId="28BBC6AE" w14:textId="77777777" w:rsidTr="00D849B5">
        <w:trPr>
          <w:trHeight w:val="2244"/>
        </w:trPr>
        <w:tc>
          <w:tcPr>
            <w:tcW w:w="1367" w:type="dxa"/>
            <w:tcBorders>
              <w:top w:val="nil"/>
              <w:left w:val="single" w:sz="4" w:space="0" w:color="000000"/>
              <w:bottom w:val="single" w:sz="4" w:space="0" w:color="000000"/>
              <w:right w:val="single" w:sz="4" w:space="0" w:color="000000"/>
            </w:tcBorders>
            <w:shd w:val="clear" w:color="000000" w:fill="FFFFFF"/>
            <w:vAlign w:val="bottom"/>
            <w:hideMark/>
          </w:tcPr>
          <w:p w14:paraId="6C743140"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Evaluación del Sistema Nacional de Vigilancia Epidemiológica (SINAVE) a través de indicadores</w:t>
            </w:r>
          </w:p>
        </w:tc>
        <w:tc>
          <w:tcPr>
            <w:tcW w:w="1419" w:type="dxa"/>
            <w:tcBorders>
              <w:top w:val="nil"/>
              <w:left w:val="nil"/>
              <w:bottom w:val="single" w:sz="4" w:space="0" w:color="000000"/>
              <w:right w:val="single" w:sz="4" w:space="0" w:color="000000"/>
            </w:tcBorders>
            <w:shd w:val="clear" w:color="000000" w:fill="FFFFFF"/>
            <w:vAlign w:val="bottom"/>
            <w:hideMark/>
          </w:tcPr>
          <w:p w14:paraId="40924369"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Evalúa el desempeño de los subsistemas que conforman el Sistema Nacional de Vigilancia Epidemiológica (SINAVE) a través de los indicadores establecidos en los manuales de procedimientos para la vigilancia epidemiológica vigentes</w:t>
            </w:r>
          </w:p>
        </w:tc>
        <w:tc>
          <w:tcPr>
            <w:tcW w:w="1884" w:type="dxa"/>
            <w:tcBorders>
              <w:top w:val="nil"/>
              <w:left w:val="nil"/>
              <w:bottom w:val="single" w:sz="4" w:space="0" w:color="000000"/>
              <w:right w:val="single" w:sz="4" w:space="0" w:color="000000"/>
            </w:tcBorders>
            <w:shd w:val="clear" w:color="000000" w:fill="FFFFFF"/>
            <w:vAlign w:val="bottom"/>
            <w:hideMark/>
          </w:tcPr>
          <w:p w14:paraId="4630E0FF"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(Número de subsistemas del SINAVE evaluados) / Número de subsistemas del SINAVE programados para la evaluación) X 100</w:t>
            </w:r>
          </w:p>
        </w:tc>
        <w:tc>
          <w:tcPr>
            <w:tcW w:w="814" w:type="dxa"/>
            <w:tcBorders>
              <w:top w:val="nil"/>
              <w:left w:val="nil"/>
              <w:bottom w:val="single" w:sz="4" w:space="0" w:color="000000"/>
              <w:right w:val="single" w:sz="4" w:space="0" w:color="000000"/>
            </w:tcBorders>
            <w:shd w:val="clear" w:color="000000" w:fill="FFFFFF"/>
            <w:vAlign w:val="bottom"/>
            <w:hideMark/>
          </w:tcPr>
          <w:p w14:paraId="5C3465E9"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Relativo</w:t>
            </w:r>
          </w:p>
        </w:tc>
        <w:tc>
          <w:tcPr>
            <w:tcW w:w="1021" w:type="dxa"/>
            <w:tcBorders>
              <w:top w:val="nil"/>
              <w:left w:val="nil"/>
              <w:bottom w:val="single" w:sz="4" w:space="0" w:color="000000"/>
              <w:right w:val="single" w:sz="4" w:space="0" w:color="000000"/>
            </w:tcBorders>
            <w:shd w:val="clear" w:color="000000" w:fill="FFFFFF"/>
            <w:vAlign w:val="bottom"/>
            <w:hideMark/>
          </w:tcPr>
          <w:p w14:paraId="61367C3A"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Sistema</w:t>
            </w:r>
          </w:p>
        </w:tc>
        <w:tc>
          <w:tcPr>
            <w:tcW w:w="1057" w:type="dxa"/>
            <w:tcBorders>
              <w:top w:val="nil"/>
              <w:left w:val="nil"/>
              <w:bottom w:val="single" w:sz="4" w:space="0" w:color="000000"/>
              <w:right w:val="single" w:sz="4" w:space="0" w:color="000000"/>
            </w:tcBorders>
            <w:shd w:val="clear" w:color="000000" w:fill="FFFFFF"/>
            <w:vAlign w:val="bottom"/>
            <w:hideMark/>
          </w:tcPr>
          <w:p w14:paraId="02489C15"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Gestión</w:t>
            </w:r>
          </w:p>
        </w:tc>
        <w:tc>
          <w:tcPr>
            <w:tcW w:w="1073" w:type="dxa"/>
            <w:tcBorders>
              <w:top w:val="nil"/>
              <w:left w:val="nil"/>
              <w:bottom w:val="single" w:sz="4" w:space="0" w:color="000000"/>
              <w:right w:val="single" w:sz="4" w:space="0" w:color="000000"/>
            </w:tcBorders>
            <w:shd w:val="clear" w:color="000000" w:fill="FFFFFF"/>
            <w:vAlign w:val="bottom"/>
            <w:hideMark/>
          </w:tcPr>
          <w:p w14:paraId="36989165"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Eficiencia</w:t>
            </w:r>
          </w:p>
        </w:tc>
        <w:tc>
          <w:tcPr>
            <w:tcW w:w="1086" w:type="dxa"/>
            <w:tcBorders>
              <w:top w:val="nil"/>
              <w:left w:val="nil"/>
              <w:bottom w:val="single" w:sz="4" w:space="0" w:color="000000"/>
              <w:right w:val="single" w:sz="4" w:space="0" w:color="000000"/>
            </w:tcBorders>
            <w:shd w:val="clear" w:color="000000" w:fill="FFFFFF"/>
            <w:vAlign w:val="bottom"/>
            <w:hideMark/>
          </w:tcPr>
          <w:p w14:paraId="160E9947"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Trimestral</w:t>
            </w:r>
          </w:p>
        </w:tc>
        <w:tc>
          <w:tcPr>
            <w:tcW w:w="10686" w:type="dxa"/>
            <w:tcBorders>
              <w:top w:val="nil"/>
              <w:left w:val="nil"/>
              <w:bottom w:val="single" w:sz="4" w:space="0" w:color="000000"/>
              <w:right w:val="single" w:sz="4" w:space="0" w:color="000000"/>
            </w:tcBorders>
            <w:shd w:val="clear" w:color="000000" w:fill="FFFFFF"/>
            <w:vAlign w:val="bottom"/>
            <w:hideMark/>
          </w:tcPr>
          <w:p w14:paraId="491AEB25"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Evaluación del Sistema Nacional de Vigilancia Epidemiológica (SINAVE) a través de indicadores:Informe de evaluación de indicadores de los subsistemas del SINAVE</w:t>
            </w:r>
          </w:p>
        </w:tc>
      </w:tr>
      <w:tr w:rsidR="00D849B5" w:rsidRPr="0089139F" w14:paraId="2EB3714A" w14:textId="77777777" w:rsidTr="00D849B5">
        <w:trPr>
          <w:trHeight w:val="210"/>
        </w:trPr>
        <w:tc>
          <w:tcPr>
            <w:tcW w:w="4670" w:type="dxa"/>
            <w:gridSpan w:val="3"/>
            <w:tcBorders>
              <w:top w:val="single" w:sz="4" w:space="0" w:color="000000"/>
              <w:left w:val="single" w:sz="4" w:space="0" w:color="000000"/>
              <w:bottom w:val="single" w:sz="4" w:space="0" w:color="000000"/>
              <w:right w:val="single" w:sz="4" w:space="0" w:color="000000"/>
            </w:tcBorders>
            <w:shd w:val="clear" w:color="000000" w:fill="99CCFF"/>
            <w:vAlign w:val="bottom"/>
            <w:hideMark/>
          </w:tcPr>
          <w:p w14:paraId="46C1CBB1"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Objetivo</w:t>
            </w:r>
          </w:p>
        </w:tc>
        <w:tc>
          <w:tcPr>
            <w:tcW w:w="2892"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13B00DE9"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Orden</w:t>
            </w:r>
          </w:p>
        </w:tc>
        <w:tc>
          <w:tcPr>
            <w:tcW w:w="12845" w:type="dxa"/>
            <w:gridSpan w:val="3"/>
            <w:tcBorders>
              <w:top w:val="single" w:sz="4" w:space="0" w:color="000000"/>
              <w:left w:val="nil"/>
              <w:bottom w:val="single" w:sz="4" w:space="0" w:color="000000"/>
              <w:right w:val="single" w:sz="4" w:space="0" w:color="000000"/>
            </w:tcBorders>
            <w:shd w:val="clear" w:color="000000" w:fill="99CCFF"/>
            <w:vAlign w:val="bottom"/>
            <w:hideMark/>
          </w:tcPr>
          <w:p w14:paraId="6412577E"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Supuestos</w:t>
            </w:r>
          </w:p>
        </w:tc>
      </w:tr>
      <w:tr w:rsidR="00D849B5" w:rsidRPr="0089139F" w14:paraId="7A62AF3C" w14:textId="77777777" w:rsidTr="00D849B5">
        <w:trPr>
          <w:trHeight w:val="840"/>
        </w:trPr>
        <w:tc>
          <w:tcPr>
            <w:tcW w:w="4670"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50DE8AB"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Servicios de diagnóstico de enfermedades con importancia en salud pública por la Red Nacional de Laboratorios de Salud Pública</w:t>
            </w:r>
          </w:p>
        </w:tc>
        <w:tc>
          <w:tcPr>
            <w:tcW w:w="2892" w:type="dxa"/>
            <w:gridSpan w:val="3"/>
            <w:tcBorders>
              <w:top w:val="single" w:sz="4" w:space="0" w:color="000000"/>
              <w:left w:val="nil"/>
              <w:bottom w:val="single" w:sz="4" w:space="0" w:color="000000"/>
              <w:right w:val="single" w:sz="4" w:space="0" w:color="000000"/>
            </w:tcBorders>
            <w:shd w:val="clear" w:color="auto" w:fill="auto"/>
            <w:vAlign w:val="bottom"/>
            <w:hideMark/>
          </w:tcPr>
          <w:p w14:paraId="71A3B837" w14:textId="77777777" w:rsidR="00D849B5" w:rsidRPr="0089139F" w:rsidRDefault="00D849B5" w:rsidP="00D849B5">
            <w:pPr>
              <w:jc w:val="cente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34</w:t>
            </w:r>
          </w:p>
        </w:tc>
        <w:tc>
          <w:tcPr>
            <w:tcW w:w="12845" w:type="dxa"/>
            <w:gridSpan w:val="3"/>
            <w:tcBorders>
              <w:top w:val="single" w:sz="4" w:space="0" w:color="000000"/>
              <w:left w:val="nil"/>
              <w:bottom w:val="single" w:sz="4" w:space="0" w:color="000000"/>
              <w:right w:val="single" w:sz="4" w:space="0" w:color="000000"/>
            </w:tcBorders>
            <w:shd w:val="clear" w:color="auto" w:fill="auto"/>
            <w:vAlign w:val="bottom"/>
            <w:hideMark/>
          </w:tcPr>
          <w:p w14:paraId="30DF1CDA"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La Red Nacional de Laboratorios de Salud cuenta con los recursos humanos y materiales para ealizar vigilancia epidemiológica por laboratorio de enfermedades transmisibles con importancia en Salud Pública definidas en el Marco Analítico Básico.</w:t>
            </w:r>
          </w:p>
        </w:tc>
      </w:tr>
      <w:tr w:rsidR="00D849B5" w:rsidRPr="0089139F" w14:paraId="3EFDA038" w14:textId="77777777" w:rsidTr="00D849B5">
        <w:trPr>
          <w:trHeight w:val="408"/>
        </w:trPr>
        <w:tc>
          <w:tcPr>
            <w:tcW w:w="1367" w:type="dxa"/>
            <w:tcBorders>
              <w:top w:val="nil"/>
              <w:left w:val="single" w:sz="4" w:space="0" w:color="000000"/>
              <w:bottom w:val="single" w:sz="4" w:space="0" w:color="000000"/>
              <w:right w:val="single" w:sz="4" w:space="0" w:color="000000"/>
            </w:tcBorders>
            <w:shd w:val="clear" w:color="000000" w:fill="FFFFCC"/>
            <w:vAlign w:val="bottom"/>
            <w:hideMark/>
          </w:tcPr>
          <w:p w14:paraId="36E97B0C"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Indicador</w:t>
            </w:r>
          </w:p>
        </w:tc>
        <w:tc>
          <w:tcPr>
            <w:tcW w:w="1419" w:type="dxa"/>
            <w:tcBorders>
              <w:top w:val="nil"/>
              <w:left w:val="nil"/>
              <w:bottom w:val="single" w:sz="4" w:space="0" w:color="000000"/>
              <w:right w:val="single" w:sz="4" w:space="0" w:color="000000"/>
            </w:tcBorders>
            <w:shd w:val="clear" w:color="000000" w:fill="FFFFCC"/>
            <w:vAlign w:val="bottom"/>
            <w:hideMark/>
          </w:tcPr>
          <w:p w14:paraId="362244B7"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Definición</w:t>
            </w:r>
          </w:p>
        </w:tc>
        <w:tc>
          <w:tcPr>
            <w:tcW w:w="1884" w:type="dxa"/>
            <w:tcBorders>
              <w:top w:val="nil"/>
              <w:left w:val="nil"/>
              <w:bottom w:val="single" w:sz="4" w:space="0" w:color="000000"/>
              <w:right w:val="single" w:sz="4" w:space="0" w:color="000000"/>
            </w:tcBorders>
            <w:shd w:val="clear" w:color="000000" w:fill="FFFFCC"/>
            <w:vAlign w:val="bottom"/>
            <w:hideMark/>
          </w:tcPr>
          <w:p w14:paraId="5BB2F3A6"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Método de Calculo</w:t>
            </w:r>
          </w:p>
        </w:tc>
        <w:tc>
          <w:tcPr>
            <w:tcW w:w="814" w:type="dxa"/>
            <w:tcBorders>
              <w:top w:val="nil"/>
              <w:left w:val="nil"/>
              <w:bottom w:val="single" w:sz="4" w:space="0" w:color="000000"/>
              <w:right w:val="single" w:sz="4" w:space="0" w:color="000000"/>
            </w:tcBorders>
            <w:shd w:val="clear" w:color="000000" w:fill="FFFFCC"/>
            <w:vAlign w:val="bottom"/>
            <w:hideMark/>
          </w:tcPr>
          <w:p w14:paraId="7B3A18F8" w14:textId="77777777" w:rsidR="00D849B5" w:rsidRPr="0089139F" w:rsidRDefault="00D849B5" w:rsidP="00D849B5">
            <w:pPr>
              <w:jc w:val="center"/>
              <w:rPr>
                <w:rFonts w:ascii="Noto Sans" w:eastAsia="Times New Roman" w:hAnsi="Noto Sans" w:cs="Noto Sans"/>
                <w:b/>
                <w:bCs/>
                <w:color w:val="000000"/>
                <w:sz w:val="16"/>
                <w:szCs w:val="16"/>
                <w:lang w:val="es-MX" w:eastAsia="en-US"/>
              </w:rPr>
            </w:pPr>
            <w:r w:rsidRPr="0089139F">
              <w:rPr>
                <w:rFonts w:ascii="Noto Sans" w:eastAsia="Times New Roman" w:hAnsi="Noto Sans" w:cs="Noto Sans"/>
                <w:b/>
                <w:bCs/>
                <w:color w:val="000000"/>
                <w:sz w:val="16"/>
                <w:szCs w:val="16"/>
                <w:lang w:val="es-MX" w:eastAsia="en-US"/>
              </w:rPr>
              <w:t>Tipo de Valor de la Meta</w:t>
            </w:r>
          </w:p>
        </w:tc>
        <w:tc>
          <w:tcPr>
            <w:tcW w:w="1021" w:type="dxa"/>
            <w:tcBorders>
              <w:top w:val="nil"/>
              <w:left w:val="nil"/>
              <w:bottom w:val="single" w:sz="4" w:space="0" w:color="000000"/>
              <w:right w:val="single" w:sz="4" w:space="0" w:color="000000"/>
            </w:tcBorders>
            <w:shd w:val="clear" w:color="000000" w:fill="FFFFCC"/>
            <w:vAlign w:val="bottom"/>
            <w:hideMark/>
          </w:tcPr>
          <w:p w14:paraId="7EDCD0FC"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Unidad de Medida</w:t>
            </w:r>
          </w:p>
        </w:tc>
        <w:tc>
          <w:tcPr>
            <w:tcW w:w="1057" w:type="dxa"/>
            <w:tcBorders>
              <w:top w:val="nil"/>
              <w:left w:val="nil"/>
              <w:bottom w:val="single" w:sz="4" w:space="0" w:color="000000"/>
              <w:right w:val="single" w:sz="4" w:space="0" w:color="000000"/>
            </w:tcBorders>
            <w:shd w:val="clear" w:color="000000" w:fill="FFFFCC"/>
            <w:vAlign w:val="bottom"/>
            <w:hideMark/>
          </w:tcPr>
          <w:p w14:paraId="784A4D27"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Tipo de Indicador</w:t>
            </w:r>
          </w:p>
        </w:tc>
        <w:tc>
          <w:tcPr>
            <w:tcW w:w="1073" w:type="dxa"/>
            <w:tcBorders>
              <w:top w:val="nil"/>
              <w:left w:val="nil"/>
              <w:bottom w:val="single" w:sz="4" w:space="0" w:color="000000"/>
              <w:right w:val="single" w:sz="4" w:space="0" w:color="000000"/>
            </w:tcBorders>
            <w:shd w:val="clear" w:color="000000" w:fill="FFFFCC"/>
            <w:vAlign w:val="bottom"/>
            <w:hideMark/>
          </w:tcPr>
          <w:p w14:paraId="557EC9E0"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Dimensión del Indicador</w:t>
            </w:r>
          </w:p>
        </w:tc>
        <w:tc>
          <w:tcPr>
            <w:tcW w:w="1086" w:type="dxa"/>
            <w:tcBorders>
              <w:top w:val="nil"/>
              <w:left w:val="nil"/>
              <w:bottom w:val="single" w:sz="4" w:space="0" w:color="000000"/>
              <w:right w:val="single" w:sz="4" w:space="0" w:color="000000"/>
            </w:tcBorders>
            <w:shd w:val="clear" w:color="000000" w:fill="FFFFCC"/>
            <w:vAlign w:val="bottom"/>
            <w:hideMark/>
          </w:tcPr>
          <w:p w14:paraId="7C138830"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Frecuencia de Medición</w:t>
            </w:r>
          </w:p>
        </w:tc>
        <w:tc>
          <w:tcPr>
            <w:tcW w:w="10686" w:type="dxa"/>
            <w:tcBorders>
              <w:top w:val="nil"/>
              <w:left w:val="nil"/>
              <w:bottom w:val="single" w:sz="4" w:space="0" w:color="000000"/>
              <w:right w:val="single" w:sz="4" w:space="0" w:color="000000"/>
            </w:tcBorders>
            <w:shd w:val="clear" w:color="000000" w:fill="FFFFCC"/>
            <w:vAlign w:val="bottom"/>
            <w:hideMark/>
          </w:tcPr>
          <w:p w14:paraId="145C9645" w14:textId="77777777" w:rsidR="00D849B5" w:rsidRPr="0089139F" w:rsidRDefault="00D849B5" w:rsidP="00D849B5">
            <w:pPr>
              <w:jc w:val="center"/>
              <w:rPr>
                <w:rFonts w:ascii="Noto Sans" w:eastAsia="Times New Roman" w:hAnsi="Noto Sans" w:cs="Noto Sans"/>
                <w:b/>
                <w:bCs/>
                <w:color w:val="000000"/>
                <w:sz w:val="16"/>
                <w:szCs w:val="16"/>
                <w:lang w:val="en-US" w:eastAsia="en-US"/>
              </w:rPr>
            </w:pPr>
            <w:r w:rsidRPr="0089139F">
              <w:rPr>
                <w:rFonts w:ascii="Noto Sans" w:eastAsia="Times New Roman" w:hAnsi="Noto Sans" w:cs="Noto Sans"/>
                <w:b/>
                <w:bCs/>
                <w:color w:val="000000"/>
                <w:sz w:val="16"/>
                <w:szCs w:val="16"/>
                <w:lang w:val="en-US" w:eastAsia="en-US"/>
              </w:rPr>
              <w:t>Medios de Verificación</w:t>
            </w:r>
          </w:p>
        </w:tc>
      </w:tr>
      <w:tr w:rsidR="00D849B5" w:rsidRPr="0089139F" w14:paraId="2E28FAA9" w14:textId="77777777" w:rsidTr="00D849B5">
        <w:trPr>
          <w:trHeight w:val="2652"/>
        </w:trPr>
        <w:tc>
          <w:tcPr>
            <w:tcW w:w="1367" w:type="dxa"/>
            <w:tcBorders>
              <w:top w:val="nil"/>
              <w:left w:val="single" w:sz="4" w:space="0" w:color="000000"/>
              <w:bottom w:val="single" w:sz="4" w:space="0" w:color="000000"/>
              <w:right w:val="single" w:sz="4" w:space="0" w:color="000000"/>
            </w:tcBorders>
            <w:shd w:val="clear" w:color="000000" w:fill="FFFFFF"/>
            <w:vAlign w:val="bottom"/>
            <w:hideMark/>
          </w:tcPr>
          <w:p w14:paraId="22F8654E"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Cobertura del Marco Analítico Básico de la Red Nacional de Laboratorios de Salud Pública (RNLSP)</w:t>
            </w:r>
          </w:p>
        </w:tc>
        <w:tc>
          <w:tcPr>
            <w:tcW w:w="1419" w:type="dxa"/>
            <w:tcBorders>
              <w:top w:val="nil"/>
              <w:left w:val="nil"/>
              <w:bottom w:val="single" w:sz="4" w:space="0" w:color="000000"/>
              <w:right w:val="single" w:sz="4" w:space="0" w:color="000000"/>
            </w:tcBorders>
            <w:shd w:val="clear" w:color="000000" w:fill="FFFFFF"/>
            <w:vAlign w:val="bottom"/>
            <w:hideMark/>
          </w:tcPr>
          <w:p w14:paraId="2E531676"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Mide el porcentaje de cobertura de los Laboratorios Estatales de Salud Pública con respecto al Marco Analítico Básico.</w:t>
            </w:r>
          </w:p>
        </w:tc>
        <w:tc>
          <w:tcPr>
            <w:tcW w:w="1884" w:type="dxa"/>
            <w:tcBorders>
              <w:top w:val="nil"/>
              <w:left w:val="nil"/>
              <w:bottom w:val="single" w:sz="4" w:space="0" w:color="000000"/>
              <w:right w:val="single" w:sz="4" w:space="0" w:color="000000"/>
            </w:tcBorders>
            <w:shd w:val="clear" w:color="000000" w:fill="FFFFFF"/>
            <w:vAlign w:val="bottom"/>
            <w:hideMark/>
          </w:tcPr>
          <w:p w14:paraId="44917E64"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(Número de Laboratorios Estatales de Salud Pública que cubre el 90% del Marco Analítico Básico) / (Número Total de Laboratorios Estatales de Salud Pública) X 100</w:t>
            </w:r>
          </w:p>
        </w:tc>
        <w:tc>
          <w:tcPr>
            <w:tcW w:w="814" w:type="dxa"/>
            <w:tcBorders>
              <w:top w:val="nil"/>
              <w:left w:val="nil"/>
              <w:bottom w:val="single" w:sz="4" w:space="0" w:color="000000"/>
              <w:right w:val="single" w:sz="4" w:space="0" w:color="000000"/>
            </w:tcBorders>
            <w:shd w:val="clear" w:color="000000" w:fill="FFFFFF"/>
            <w:vAlign w:val="bottom"/>
            <w:hideMark/>
          </w:tcPr>
          <w:p w14:paraId="1CAA8DC9"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Relativo</w:t>
            </w:r>
          </w:p>
        </w:tc>
        <w:tc>
          <w:tcPr>
            <w:tcW w:w="1021" w:type="dxa"/>
            <w:tcBorders>
              <w:top w:val="nil"/>
              <w:left w:val="nil"/>
              <w:bottom w:val="single" w:sz="4" w:space="0" w:color="000000"/>
              <w:right w:val="single" w:sz="4" w:space="0" w:color="000000"/>
            </w:tcBorders>
            <w:shd w:val="clear" w:color="000000" w:fill="FFFFFF"/>
            <w:vAlign w:val="bottom"/>
            <w:hideMark/>
          </w:tcPr>
          <w:p w14:paraId="560E081F"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Porcentaje</w:t>
            </w:r>
          </w:p>
        </w:tc>
        <w:tc>
          <w:tcPr>
            <w:tcW w:w="1057" w:type="dxa"/>
            <w:tcBorders>
              <w:top w:val="nil"/>
              <w:left w:val="nil"/>
              <w:bottom w:val="single" w:sz="4" w:space="0" w:color="000000"/>
              <w:right w:val="single" w:sz="4" w:space="0" w:color="000000"/>
            </w:tcBorders>
            <w:shd w:val="clear" w:color="000000" w:fill="FFFFFF"/>
            <w:vAlign w:val="bottom"/>
            <w:hideMark/>
          </w:tcPr>
          <w:p w14:paraId="735A7EA0"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Gestión</w:t>
            </w:r>
          </w:p>
        </w:tc>
        <w:tc>
          <w:tcPr>
            <w:tcW w:w="1073" w:type="dxa"/>
            <w:tcBorders>
              <w:top w:val="nil"/>
              <w:left w:val="nil"/>
              <w:bottom w:val="single" w:sz="4" w:space="0" w:color="000000"/>
              <w:right w:val="single" w:sz="4" w:space="0" w:color="000000"/>
            </w:tcBorders>
            <w:shd w:val="clear" w:color="000000" w:fill="FFFFFF"/>
            <w:vAlign w:val="bottom"/>
            <w:hideMark/>
          </w:tcPr>
          <w:p w14:paraId="71B8B982"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Calidad</w:t>
            </w:r>
          </w:p>
        </w:tc>
        <w:tc>
          <w:tcPr>
            <w:tcW w:w="1086" w:type="dxa"/>
            <w:tcBorders>
              <w:top w:val="nil"/>
              <w:left w:val="nil"/>
              <w:bottom w:val="single" w:sz="4" w:space="0" w:color="000000"/>
              <w:right w:val="single" w:sz="4" w:space="0" w:color="000000"/>
            </w:tcBorders>
            <w:shd w:val="clear" w:color="000000" w:fill="FFFFFF"/>
            <w:vAlign w:val="bottom"/>
            <w:hideMark/>
          </w:tcPr>
          <w:p w14:paraId="56B193F4" w14:textId="77777777" w:rsidR="00D849B5" w:rsidRPr="0089139F" w:rsidRDefault="00D849B5" w:rsidP="00D849B5">
            <w:pPr>
              <w:rPr>
                <w:rFonts w:ascii="Noto Sans" w:eastAsia="Times New Roman" w:hAnsi="Noto Sans" w:cs="Noto Sans"/>
                <w:color w:val="000000"/>
                <w:sz w:val="16"/>
                <w:szCs w:val="16"/>
                <w:lang w:val="en-US" w:eastAsia="en-US"/>
              </w:rPr>
            </w:pPr>
            <w:r w:rsidRPr="0089139F">
              <w:rPr>
                <w:rFonts w:ascii="Noto Sans" w:eastAsia="Times New Roman" w:hAnsi="Noto Sans" w:cs="Noto Sans"/>
                <w:color w:val="000000"/>
                <w:sz w:val="16"/>
                <w:szCs w:val="16"/>
                <w:lang w:val="en-US" w:eastAsia="en-US"/>
              </w:rPr>
              <w:t>Trimestral</w:t>
            </w:r>
          </w:p>
        </w:tc>
        <w:tc>
          <w:tcPr>
            <w:tcW w:w="10686" w:type="dxa"/>
            <w:tcBorders>
              <w:top w:val="nil"/>
              <w:left w:val="nil"/>
              <w:bottom w:val="single" w:sz="4" w:space="0" w:color="000000"/>
              <w:right w:val="single" w:sz="4" w:space="0" w:color="000000"/>
            </w:tcBorders>
            <w:shd w:val="clear" w:color="000000" w:fill="FFFFFF"/>
            <w:vAlign w:val="bottom"/>
            <w:hideMark/>
          </w:tcPr>
          <w:p w14:paraId="7585EED9" w14:textId="77777777" w:rsidR="00D849B5" w:rsidRPr="0089139F" w:rsidRDefault="00D849B5" w:rsidP="00D849B5">
            <w:pPr>
              <w:rPr>
                <w:rFonts w:ascii="Noto Sans" w:eastAsia="Times New Roman" w:hAnsi="Noto Sans" w:cs="Noto Sans"/>
                <w:color w:val="000000"/>
                <w:sz w:val="16"/>
                <w:szCs w:val="16"/>
                <w:lang w:val="es-MX" w:eastAsia="en-US"/>
              </w:rPr>
            </w:pPr>
            <w:r w:rsidRPr="0089139F">
              <w:rPr>
                <w:rFonts w:ascii="Noto Sans" w:eastAsia="Times New Roman" w:hAnsi="Noto Sans" w:cs="Noto Sans"/>
                <w:color w:val="000000"/>
                <w:sz w:val="16"/>
                <w:szCs w:val="16"/>
                <w:lang w:val="es-MX" w:eastAsia="en-US"/>
              </w:rPr>
              <w:t>(Variable 1 N¿mero de Laboratorios Estatales de Salud Publica que cubre el 90% del Marco Anal¿tico B¿sico) / (Variable 2 N¿mero Total de Laboratorios Estatales de Salud P¿blica).:Reporte institucional http://www.indre.salud.gob.mx/interior/intd_manuales.html</w:t>
            </w:r>
          </w:p>
        </w:tc>
      </w:tr>
    </w:tbl>
    <w:p w14:paraId="28A29AEE" w14:textId="77777777" w:rsidR="0020644B" w:rsidRPr="0089139F" w:rsidRDefault="0020644B" w:rsidP="0020644B">
      <w:pPr>
        <w:spacing w:line="360" w:lineRule="auto"/>
        <w:jc w:val="both"/>
        <w:rPr>
          <w:rFonts w:ascii="Noto Sans" w:hAnsi="Noto Sans" w:cs="Noto Sans"/>
          <w:sz w:val="22"/>
          <w:szCs w:val="22"/>
        </w:rPr>
      </w:pPr>
    </w:p>
    <w:p w14:paraId="011E6D50" w14:textId="77777777" w:rsidR="0020644B" w:rsidRPr="0089139F" w:rsidRDefault="0020644B" w:rsidP="0020644B">
      <w:pPr>
        <w:keepNext/>
        <w:spacing w:before="240" w:after="120" w:line="360" w:lineRule="auto"/>
        <w:outlineLvl w:val="3"/>
        <w:rPr>
          <w:rFonts w:ascii="Noto Sans" w:eastAsia="Century Gothic" w:hAnsi="Noto Sans" w:cs="Noto Sans"/>
          <w:b/>
          <w:bCs/>
          <w:sz w:val="22"/>
          <w:szCs w:val="22"/>
        </w:rPr>
      </w:pPr>
      <w:r w:rsidRPr="0089139F">
        <w:rPr>
          <w:rFonts w:ascii="Noto Sans" w:eastAsia="Century Gothic" w:hAnsi="Noto Sans" w:cs="Noto Sans"/>
          <w:b/>
          <w:bCs/>
          <w:sz w:val="22"/>
          <w:szCs w:val="22"/>
        </w:rPr>
        <w:t>4.6.2.1 Previsiones para la integración y operación del padrón de beneficiarios</w:t>
      </w:r>
    </w:p>
    <w:p w14:paraId="0754492B" w14:textId="77777777" w:rsidR="0020644B" w:rsidRPr="0089139F" w:rsidRDefault="0020644B" w:rsidP="0020644B">
      <w:pPr>
        <w:rPr>
          <w:rFonts w:ascii="Noto Sans" w:hAnsi="Noto Sans" w:cs="Noto Sans"/>
        </w:rPr>
      </w:pPr>
    </w:p>
    <w:p w14:paraId="4787A574" w14:textId="77777777" w:rsidR="0020644B" w:rsidRPr="0089139F" w:rsidRDefault="0020644B" w:rsidP="0020644B">
      <w:pPr>
        <w:spacing w:line="276" w:lineRule="auto"/>
        <w:jc w:val="both"/>
        <w:rPr>
          <w:rFonts w:ascii="Noto Sans" w:hAnsi="Noto Sans" w:cs="Noto Sans"/>
          <w:sz w:val="22"/>
          <w:szCs w:val="22"/>
        </w:rPr>
      </w:pPr>
      <w:r w:rsidRPr="0089139F">
        <w:rPr>
          <w:rFonts w:ascii="Noto Sans" w:hAnsi="Noto Sans" w:cs="Noto Sans"/>
          <w:sz w:val="22"/>
          <w:szCs w:val="22"/>
        </w:rPr>
        <w:t>No aplica, ya que es para toda la población que habita el territorio nacional en todo momento, recordar que sobre todo al tener movilizaciones poblacionales internas y externas, no se puede contar con un padrón definido, sino es para toda la población en puntos de tiempo.</w:t>
      </w:r>
    </w:p>
    <w:p w14:paraId="39E32646" w14:textId="77777777" w:rsidR="0020644B" w:rsidRPr="0089139F" w:rsidRDefault="0020644B" w:rsidP="0020644B">
      <w:pPr>
        <w:spacing w:line="276" w:lineRule="auto"/>
        <w:jc w:val="both"/>
        <w:rPr>
          <w:rFonts w:ascii="Noto Sans" w:hAnsi="Noto Sans" w:cs="Noto Sans"/>
        </w:rPr>
      </w:pPr>
    </w:p>
    <w:p w14:paraId="5A402664" w14:textId="77777777" w:rsidR="0020644B" w:rsidRPr="0089139F" w:rsidRDefault="0020644B" w:rsidP="0020644B">
      <w:pPr>
        <w:keepNext/>
        <w:spacing w:before="240" w:after="60" w:line="276" w:lineRule="auto"/>
        <w:jc w:val="both"/>
        <w:outlineLvl w:val="2"/>
        <w:rPr>
          <w:rFonts w:ascii="Noto Sans" w:eastAsia="Century Gothic" w:hAnsi="Noto Sans" w:cs="Noto Sans"/>
          <w:b/>
          <w:bCs/>
          <w:sz w:val="22"/>
          <w:szCs w:val="22"/>
        </w:rPr>
      </w:pPr>
    </w:p>
    <w:p w14:paraId="6A0DB7CC" w14:textId="77777777" w:rsidR="0020644B" w:rsidRPr="0089139F" w:rsidRDefault="0020644B" w:rsidP="0020644B">
      <w:pPr>
        <w:keepNext/>
        <w:spacing w:before="240" w:after="60" w:line="360" w:lineRule="auto"/>
        <w:outlineLvl w:val="2"/>
        <w:rPr>
          <w:rFonts w:ascii="Noto Sans" w:eastAsia="Century Gothic" w:hAnsi="Noto Sans" w:cs="Noto Sans"/>
          <w:b/>
          <w:bCs/>
          <w:sz w:val="22"/>
          <w:szCs w:val="22"/>
        </w:rPr>
      </w:pPr>
      <w:r w:rsidRPr="0089139F">
        <w:rPr>
          <w:rFonts w:ascii="Noto Sans" w:eastAsia="Century Gothic" w:hAnsi="Noto Sans" w:cs="Noto Sans"/>
          <w:b/>
          <w:bCs/>
          <w:sz w:val="22"/>
          <w:szCs w:val="22"/>
        </w:rPr>
        <w:t>4.6.3 Matriz de Indicadores de Resultados</w:t>
      </w:r>
    </w:p>
    <w:p w14:paraId="2B50F569" w14:textId="77777777" w:rsidR="0020644B" w:rsidRPr="0089139F" w:rsidRDefault="0020644B" w:rsidP="0020644B">
      <w:pPr>
        <w:spacing w:before="240" w:after="120" w:line="360" w:lineRule="auto"/>
        <w:jc w:val="both"/>
        <w:rPr>
          <w:rFonts w:ascii="Noto Sans" w:eastAsia="Century Gothic" w:hAnsi="Noto Sans" w:cs="Noto Sans"/>
          <w:sz w:val="22"/>
          <w:szCs w:val="22"/>
        </w:rPr>
      </w:pPr>
      <w:r w:rsidRPr="0089139F">
        <w:rPr>
          <w:rFonts w:ascii="Noto Sans" w:eastAsia="Century Gothic" w:hAnsi="Noto Sans" w:cs="Noto Sans"/>
          <w:sz w:val="22"/>
          <w:szCs w:val="22"/>
        </w:rPr>
        <w:t>La matriz de indicadores del Pp U009 2024, contiene ocho indicadores: uno de fin, uno de propósito, tres de componente y tres de actividad, y en adjunto 1 se muestra MIR completa vigente 2024.</w:t>
      </w:r>
    </w:p>
    <w:p w14:paraId="23EFA9E9" w14:textId="77777777" w:rsidR="0020644B" w:rsidRPr="0089139F" w:rsidRDefault="0020644B" w:rsidP="0020644B">
      <w:pPr>
        <w:spacing w:before="240" w:after="120" w:line="360" w:lineRule="auto"/>
        <w:jc w:val="both"/>
        <w:rPr>
          <w:rFonts w:ascii="Noto Sans" w:eastAsia="Century Gothic" w:hAnsi="Noto Sans" w:cs="Noto Sans"/>
          <w:sz w:val="22"/>
          <w:szCs w:val="22"/>
          <w:lang w:val="es-MX"/>
        </w:rPr>
      </w:pPr>
    </w:p>
    <w:p w14:paraId="3C56054B" w14:textId="77777777" w:rsidR="0020644B" w:rsidRPr="00D849B5" w:rsidRDefault="0020644B" w:rsidP="0020644B">
      <w:pPr>
        <w:spacing w:before="240" w:after="120" w:line="360" w:lineRule="auto"/>
        <w:jc w:val="center"/>
        <w:rPr>
          <w:rFonts w:ascii="Noto Sans" w:eastAsia="Century Gothic" w:hAnsi="Noto Sans" w:cs="Noto Sans"/>
          <w:sz w:val="22"/>
          <w:szCs w:val="22"/>
          <w:lang w:val="es-MX"/>
        </w:rPr>
      </w:pPr>
    </w:p>
    <w:p w14:paraId="4B15EA2F" w14:textId="77777777" w:rsidR="0020644B" w:rsidRPr="0089139F" w:rsidRDefault="0020644B" w:rsidP="0020644B">
      <w:pPr>
        <w:spacing w:before="240" w:after="120" w:line="360" w:lineRule="auto"/>
        <w:rPr>
          <w:rFonts w:ascii="Noto Sans" w:eastAsia="Century Gothic" w:hAnsi="Noto Sans" w:cs="Noto Sans"/>
          <w:sz w:val="22"/>
          <w:szCs w:val="22"/>
        </w:rPr>
      </w:pPr>
    </w:p>
    <w:p w14:paraId="22C5E20C" w14:textId="77777777" w:rsidR="0020644B" w:rsidRPr="0089139F" w:rsidRDefault="0020644B" w:rsidP="0020644B">
      <w:pPr>
        <w:keepNext/>
        <w:numPr>
          <w:ilvl w:val="1"/>
          <w:numId w:val="1"/>
        </w:numPr>
        <w:pBdr>
          <w:top w:val="nil"/>
          <w:left w:val="nil"/>
          <w:bottom w:val="nil"/>
          <w:right w:val="nil"/>
          <w:between w:val="nil"/>
        </w:pBdr>
        <w:spacing w:before="240" w:after="120" w:line="360" w:lineRule="auto"/>
        <w:rPr>
          <w:rFonts w:ascii="Noto Sans" w:eastAsia="Arial" w:hAnsi="Noto Sans" w:cs="Noto Sans"/>
          <w:color w:val="000000"/>
          <w:sz w:val="22"/>
          <w:szCs w:val="22"/>
        </w:rPr>
      </w:pPr>
      <w:r w:rsidRPr="0089139F">
        <w:rPr>
          <w:rFonts w:ascii="Noto Sans" w:eastAsia="Century Gothic" w:hAnsi="Noto Sans" w:cs="Noto Sans"/>
          <w:b/>
          <w:color w:val="000000"/>
          <w:sz w:val="22"/>
          <w:szCs w:val="22"/>
        </w:rPr>
        <w:t>Análisis de similitudes o complementariedades.</w:t>
      </w:r>
    </w:p>
    <w:p w14:paraId="1C7D9917" w14:textId="77777777" w:rsidR="0020644B" w:rsidRPr="0089139F" w:rsidRDefault="0020644B" w:rsidP="0020644B">
      <w:pPr>
        <w:pBdr>
          <w:top w:val="nil"/>
          <w:left w:val="nil"/>
          <w:bottom w:val="nil"/>
          <w:right w:val="nil"/>
          <w:between w:val="nil"/>
        </w:pBdr>
        <w:spacing w:before="240" w:after="120" w:line="276" w:lineRule="auto"/>
        <w:jc w:val="both"/>
        <w:rPr>
          <w:rFonts w:ascii="Noto Sans" w:eastAsia="Arial" w:hAnsi="Noto Sans" w:cs="Noto Sans"/>
          <w:color w:val="000000"/>
          <w:sz w:val="22"/>
          <w:szCs w:val="22"/>
        </w:rPr>
      </w:pPr>
      <w:r w:rsidRPr="0089139F">
        <w:rPr>
          <w:rFonts w:ascii="Noto Sans" w:eastAsia="Arial" w:hAnsi="Noto Sans" w:cs="Noto Sans"/>
          <w:color w:val="000000"/>
          <w:sz w:val="22"/>
          <w:szCs w:val="22"/>
        </w:rPr>
        <w:t>Se presenta el análisis de similitudes o complementariedades del Pp U009 con otros programas presupuestarios vigentes.</w:t>
      </w:r>
      <w:r w:rsidRPr="0089139F" w:rsidDel="00155B25">
        <w:rPr>
          <w:rFonts w:ascii="Noto Sans" w:eastAsia="Arial" w:hAnsi="Noto Sans" w:cs="Noto Sans"/>
          <w:color w:val="000000"/>
          <w:sz w:val="22"/>
          <w:szCs w:val="22"/>
        </w:rPr>
        <w:t xml:space="preserve"> </w:t>
      </w:r>
    </w:p>
    <w:p w14:paraId="1966B9B6" w14:textId="77777777" w:rsidR="0020644B" w:rsidRPr="0089139F" w:rsidRDefault="0020644B" w:rsidP="0020644B">
      <w:pPr>
        <w:numPr>
          <w:ilvl w:val="0"/>
          <w:numId w:val="23"/>
        </w:numPr>
        <w:pBdr>
          <w:top w:val="nil"/>
          <w:left w:val="nil"/>
          <w:bottom w:val="nil"/>
          <w:right w:val="nil"/>
          <w:between w:val="nil"/>
        </w:pBdr>
        <w:spacing w:before="240" w:after="120" w:line="276" w:lineRule="auto"/>
        <w:jc w:val="both"/>
        <w:rPr>
          <w:rFonts w:ascii="Noto Sans" w:eastAsia="Arial" w:hAnsi="Noto Sans" w:cs="Noto Sans"/>
          <w:color w:val="000000"/>
          <w:sz w:val="22"/>
          <w:szCs w:val="22"/>
        </w:rPr>
      </w:pPr>
      <w:r w:rsidRPr="0089139F">
        <w:rPr>
          <w:rFonts w:ascii="Noto Sans" w:eastAsia="Arial" w:hAnsi="Noto Sans" w:cs="Noto Sans"/>
          <w:color w:val="000000"/>
          <w:sz w:val="22"/>
          <w:szCs w:val="22"/>
        </w:rPr>
        <w:t>Pp P018 “Prevención y Control de Enfermedades” que está bajo la responsabilidad de la Subsecretaria de Prevención y Promoción de la Salud, permite ser complementario en la atención de la Salud Pública en México en conjunto con el U009.</w:t>
      </w:r>
    </w:p>
    <w:p w14:paraId="14EF30FE" w14:textId="77777777" w:rsidR="0020644B" w:rsidRPr="0089139F" w:rsidRDefault="0020644B" w:rsidP="0020644B">
      <w:pPr>
        <w:numPr>
          <w:ilvl w:val="0"/>
          <w:numId w:val="23"/>
        </w:numPr>
        <w:pBdr>
          <w:top w:val="nil"/>
          <w:left w:val="nil"/>
          <w:bottom w:val="nil"/>
          <w:right w:val="nil"/>
          <w:between w:val="nil"/>
        </w:pBdr>
        <w:spacing w:before="240" w:after="120" w:line="276" w:lineRule="auto"/>
        <w:jc w:val="both"/>
        <w:rPr>
          <w:rFonts w:ascii="Noto Sans" w:eastAsia="Arial" w:hAnsi="Noto Sans" w:cs="Noto Sans"/>
          <w:color w:val="000000"/>
          <w:sz w:val="22"/>
          <w:szCs w:val="22"/>
        </w:rPr>
      </w:pPr>
      <w:r w:rsidRPr="0089139F">
        <w:rPr>
          <w:rFonts w:ascii="Noto Sans" w:eastAsia="Arial" w:hAnsi="Noto Sans" w:cs="Noto Sans"/>
          <w:color w:val="000000"/>
          <w:sz w:val="22"/>
          <w:szCs w:val="22"/>
        </w:rPr>
        <w:t>E036 “Programa de Vacunación Universal”.</w:t>
      </w:r>
    </w:p>
    <w:p w14:paraId="37374AC1" w14:textId="77777777" w:rsidR="0020644B" w:rsidRPr="0089139F" w:rsidRDefault="0020644B" w:rsidP="0020644B">
      <w:pPr>
        <w:numPr>
          <w:ilvl w:val="0"/>
          <w:numId w:val="23"/>
        </w:numPr>
        <w:rPr>
          <w:rFonts w:ascii="Noto Sans" w:eastAsia="Arial" w:hAnsi="Noto Sans" w:cs="Noto Sans"/>
          <w:color w:val="000000"/>
          <w:sz w:val="22"/>
          <w:szCs w:val="22"/>
        </w:rPr>
      </w:pPr>
      <w:r w:rsidRPr="0089139F">
        <w:rPr>
          <w:rFonts w:ascii="Noto Sans" w:eastAsia="Arial" w:hAnsi="Noto Sans" w:cs="Noto Sans"/>
          <w:color w:val="000000"/>
          <w:sz w:val="22"/>
          <w:szCs w:val="22"/>
        </w:rPr>
        <w:t>P016 “Prevención y atención de VIH/SIDA y otras ITS”.</w:t>
      </w:r>
    </w:p>
    <w:p w14:paraId="5F3B96B8" w14:textId="77777777" w:rsidR="0020644B" w:rsidRPr="0089139F" w:rsidRDefault="0020644B" w:rsidP="0020644B">
      <w:pPr>
        <w:ind w:left="708"/>
        <w:rPr>
          <w:rFonts w:ascii="Noto Sans" w:eastAsia="Arial" w:hAnsi="Noto Sans" w:cs="Noto Sans"/>
          <w:color w:val="000000"/>
          <w:sz w:val="22"/>
          <w:szCs w:val="22"/>
        </w:rPr>
      </w:pPr>
    </w:p>
    <w:p w14:paraId="0C11EB10" w14:textId="77777777" w:rsidR="0020644B" w:rsidRPr="0089139F" w:rsidRDefault="0020644B" w:rsidP="0020644B">
      <w:pPr>
        <w:ind w:left="708"/>
        <w:rPr>
          <w:rFonts w:ascii="Noto Sans" w:hAnsi="Noto Sans" w:cs="Noto Sans"/>
        </w:rPr>
      </w:pPr>
      <w:r w:rsidRPr="0089139F">
        <w:rPr>
          <w:rFonts w:ascii="Noto Sans" w:eastAsia="Arial" w:hAnsi="Noto Sans" w:cs="Noto Sans"/>
          <w:color w:val="000000"/>
          <w:sz w:val="22"/>
          <w:szCs w:val="22"/>
        </w:rPr>
        <w:t>Ramo 33.</w:t>
      </w:r>
    </w:p>
    <w:p w14:paraId="26736C9A" w14:textId="77777777" w:rsidR="0020644B" w:rsidRPr="0089139F" w:rsidRDefault="0020644B" w:rsidP="0020644B">
      <w:pPr>
        <w:numPr>
          <w:ilvl w:val="1"/>
          <w:numId w:val="1"/>
        </w:numPr>
        <w:pBdr>
          <w:top w:val="nil"/>
          <w:left w:val="nil"/>
          <w:bottom w:val="nil"/>
          <w:right w:val="nil"/>
          <w:between w:val="nil"/>
        </w:pBdr>
        <w:spacing w:before="240" w:after="120" w:line="360" w:lineRule="auto"/>
        <w:jc w:val="both"/>
        <w:rPr>
          <w:rFonts w:ascii="Noto Sans" w:eastAsia="Arial" w:hAnsi="Noto Sans" w:cs="Noto Sans"/>
          <w:b/>
          <w:color w:val="000000"/>
          <w:sz w:val="22"/>
          <w:szCs w:val="22"/>
        </w:rPr>
      </w:pPr>
      <w:r w:rsidRPr="0089139F">
        <w:rPr>
          <w:rFonts w:ascii="Noto Sans" w:eastAsia="Arial" w:hAnsi="Noto Sans" w:cs="Noto Sans"/>
          <w:b/>
          <w:color w:val="000000"/>
          <w:sz w:val="22"/>
          <w:szCs w:val="22"/>
        </w:rPr>
        <w:t>PRESUPUESTO</w:t>
      </w:r>
    </w:p>
    <w:p w14:paraId="351A14BB" w14:textId="77777777" w:rsidR="0020644B" w:rsidRPr="0089139F" w:rsidRDefault="0020644B" w:rsidP="0020644B">
      <w:pPr>
        <w:numPr>
          <w:ilvl w:val="2"/>
          <w:numId w:val="1"/>
        </w:numPr>
        <w:pBdr>
          <w:top w:val="nil"/>
          <w:left w:val="nil"/>
          <w:bottom w:val="nil"/>
          <w:right w:val="nil"/>
          <w:between w:val="nil"/>
        </w:pBdr>
        <w:spacing w:before="240" w:after="120" w:line="360" w:lineRule="auto"/>
        <w:jc w:val="both"/>
        <w:rPr>
          <w:rFonts w:ascii="Noto Sans" w:eastAsia="Arial" w:hAnsi="Noto Sans" w:cs="Noto Sans"/>
          <w:b/>
          <w:color w:val="000000"/>
          <w:sz w:val="22"/>
          <w:szCs w:val="22"/>
        </w:rPr>
      </w:pPr>
      <w:r w:rsidRPr="0089139F">
        <w:rPr>
          <w:rFonts w:ascii="Noto Sans" w:eastAsia="Arial" w:hAnsi="Noto Sans" w:cs="Noto Sans"/>
          <w:b/>
          <w:color w:val="000000"/>
          <w:sz w:val="22"/>
          <w:szCs w:val="22"/>
        </w:rPr>
        <w:t>Impacto presupuestario y fuentes de financiamiento.</w:t>
      </w:r>
    </w:p>
    <w:p w14:paraId="1F8B14FA" w14:textId="1555CD38" w:rsidR="0089139F" w:rsidRPr="0089139F" w:rsidRDefault="0020644B" w:rsidP="0020644B">
      <w:pPr>
        <w:pBdr>
          <w:top w:val="nil"/>
          <w:left w:val="nil"/>
          <w:bottom w:val="nil"/>
          <w:right w:val="nil"/>
          <w:between w:val="nil"/>
        </w:pBdr>
        <w:spacing w:before="240" w:after="120" w:line="360" w:lineRule="auto"/>
        <w:jc w:val="both"/>
        <w:rPr>
          <w:rFonts w:ascii="Noto Sans" w:eastAsia="Arial" w:hAnsi="Noto Sans" w:cs="Noto Sans"/>
          <w:color w:val="000000"/>
          <w:sz w:val="22"/>
          <w:szCs w:val="22"/>
        </w:rPr>
      </w:pPr>
      <w:r w:rsidRPr="0089139F">
        <w:rPr>
          <w:rFonts w:ascii="Noto Sans" w:eastAsia="Arial" w:hAnsi="Noto Sans" w:cs="Noto Sans"/>
          <w:color w:val="000000"/>
          <w:sz w:val="22"/>
          <w:szCs w:val="22"/>
        </w:rPr>
        <w:t>El financiamiento del programa U009 ocurre mediante asignación presupuestal de recursos</w:t>
      </w:r>
      <w:r w:rsidR="0089139F" w:rsidRPr="0089139F">
        <w:rPr>
          <w:rFonts w:ascii="Noto Sans" w:eastAsia="Arial" w:hAnsi="Noto Sans" w:cs="Noto Sans"/>
          <w:color w:val="000000"/>
          <w:sz w:val="22"/>
          <w:szCs w:val="22"/>
        </w:rPr>
        <w:t xml:space="preserve"> Ramo 12 .</w:t>
      </w:r>
    </w:p>
    <w:p w14:paraId="66E58569" w14:textId="77777777" w:rsidR="0020644B" w:rsidRPr="0089139F" w:rsidRDefault="0020644B" w:rsidP="0020644B">
      <w:pPr>
        <w:rPr>
          <w:rFonts w:ascii="Noto Sans" w:eastAsia="Arial" w:hAnsi="Noto Sans" w:cs="Noto Sans"/>
          <w:color w:val="000000"/>
          <w:sz w:val="22"/>
          <w:szCs w:val="22"/>
        </w:rPr>
      </w:pPr>
      <w:r w:rsidRPr="0089139F">
        <w:rPr>
          <w:rFonts w:ascii="Noto Sans" w:eastAsia="Arial" w:hAnsi="Noto Sans" w:cs="Noto Sans"/>
          <w:color w:val="000000"/>
          <w:sz w:val="22"/>
          <w:szCs w:val="22"/>
        </w:rPr>
        <w:br w:type="page"/>
      </w:r>
    </w:p>
    <w:p w14:paraId="0E3C0B8D" w14:textId="77777777" w:rsidR="0020644B" w:rsidRPr="0089139F" w:rsidRDefault="0020644B" w:rsidP="0020644B">
      <w:pPr>
        <w:numPr>
          <w:ilvl w:val="0"/>
          <w:numId w:val="1"/>
        </w:numPr>
        <w:pBdr>
          <w:top w:val="nil"/>
          <w:left w:val="nil"/>
          <w:bottom w:val="nil"/>
          <w:right w:val="nil"/>
          <w:between w:val="nil"/>
        </w:pBdr>
        <w:spacing w:before="240" w:after="120" w:line="360" w:lineRule="auto"/>
        <w:jc w:val="both"/>
        <w:rPr>
          <w:rFonts w:ascii="Noto Sans" w:eastAsia="Arial" w:hAnsi="Noto Sans" w:cs="Noto Sans"/>
          <w:b/>
          <w:color w:val="000000"/>
          <w:sz w:val="22"/>
          <w:szCs w:val="22"/>
        </w:rPr>
      </w:pPr>
      <w:r w:rsidRPr="0089139F">
        <w:rPr>
          <w:rFonts w:ascii="Noto Sans" w:eastAsia="Arial" w:hAnsi="Noto Sans" w:cs="Noto Sans"/>
          <w:b/>
          <w:color w:val="000000"/>
          <w:sz w:val="22"/>
          <w:szCs w:val="22"/>
        </w:rPr>
        <w:t>Referencias.</w:t>
      </w:r>
    </w:p>
    <w:p w14:paraId="3093E41C" w14:textId="77777777" w:rsidR="0020644B" w:rsidRPr="0089139F" w:rsidRDefault="0020644B" w:rsidP="0020644B">
      <w:pPr>
        <w:pBdr>
          <w:top w:val="nil"/>
          <w:left w:val="nil"/>
          <w:bottom w:val="nil"/>
          <w:right w:val="nil"/>
          <w:between w:val="nil"/>
        </w:pBdr>
        <w:spacing w:before="240" w:after="120" w:line="360" w:lineRule="auto"/>
        <w:ind w:firstLine="465"/>
        <w:jc w:val="both"/>
        <w:rPr>
          <w:rFonts w:ascii="Noto Sans" w:eastAsia="Arial" w:hAnsi="Noto Sans" w:cs="Noto Sans"/>
          <w:b/>
          <w:color w:val="000000"/>
          <w:sz w:val="22"/>
          <w:szCs w:val="22"/>
        </w:rPr>
      </w:pPr>
      <w:r w:rsidRPr="0089139F">
        <w:rPr>
          <w:rFonts w:ascii="Noto Sans" w:eastAsia="Arial" w:hAnsi="Noto Sans" w:cs="Noto Sans"/>
          <w:b/>
          <w:color w:val="000000"/>
          <w:sz w:val="22"/>
          <w:szCs w:val="22"/>
        </w:rPr>
        <w:t>Marco Normativo</w:t>
      </w:r>
    </w:p>
    <w:p w14:paraId="34A2CF61" w14:textId="77777777" w:rsidR="0020644B" w:rsidRPr="0089139F" w:rsidRDefault="0020644B" w:rsidP="0020644B">
      <w:pPr>
        <w:suppressAutoHyphens/>
        <w:overflowPunct w:val="0"/>
        <w:autoSpaceDE w:val="0"/>
        <w:autoSpaceDN w:val="0"/>
        <w:adjustRightInd w:val="0"/>
        <w:spacing w:line="360" w:lineRule="auto"/>
        <w:ind w:left="465"/>
        <w:jc w:val="both"/>
        <w:textAlignment w:val="baseline"/>
        <w:rPr>
          <w:rFonts w:ascii="Noto Sans" w:hAnsi="Noto Sans" w:cs="Noto Sans"/>
          <w:sz w:val="22"/>
          <w:szCs w:val="22"/>
        </w:rPr>
      </w:pPr>
    </w:p>
    <w:p w14:paraId="64FA8178"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hAnsi="Noto Sans" w:cs="Noto Sans"/>
          <w:sz w:val="22"/>
          <w:szCs w:val="22"/>
        </w:rPr>
      </w:pPr>
      <w:r w:rsidRPr="0089139F">
        <w:rPr>
          <w:rFonts w:ascii="Noto Sans" w:hAnsi="Noto Sans" w:cs="Noto Sans"/>
          <w:sz w:val="22"/>
          <w:szCs w:val="22"/>
        </w:rPr>
        <w:t>Presidencia de la República. Plan Nacional de Desarrollo 2007-2012.</w:t>
      </w:r>
    </w:p>
    <w:p w14:paraId="7945D280"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hAnsi="Noto Sans" w:cs="Noto Sans"/>
          <w:sz w:val="22"/>
          <w:szCs w:val="22"/>
        </w:rPr>
      </w:pPr>
      <w:r w:rsidRPr="0089139F">
        <w:rPr>
          <w:rFonts w:ascii="Noto Sans" w:hAnsi="Noto Sans" w:cs="Noto Sans"/>
          <w:sz w:val="22"/>
          <w:szCs w:val="22"/>
        </w:rPr>
        <w:t>Secretaría de Salud. Programa Nacional de Salud 2007-2012.</w:t>
      </w:r>
    </w:p>
    <w:p w14:paraId="06A966A6"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hAnsi="Noto Sans" w:cs="Noto Sans"/>
          <w:sz w:val="22"/>
          <w:szCs w:val="22"/>
        </w:rPr>
      </w:pPr>
      <w:r w:rsidRPr="0089139F">
        <w:rPr>
          <w:rFonts w:ascii="Noto Sans" w:hAnsi="Noto Sans" w:cs="Noto Sans"/>
          <w:sz w:val="22"/>
          <w:szCs w:val="22"/>
        </w:rPr>
        <w:t>Secretaría de Salud. Programa Sectorial de Salud 2007-2012.</w:t>
      </w:r>
    </w:p>
    <w:p w14:paraId="2BD3A262"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hAnsi="Noto Sans" w:cs="Noto Sans"/>
          <w:sz w:val="22"/>
          <w:szCs w:val="22"/>
        </w:rPr>
      </w:pPr>
      <w:r w:rsidRPr="0089139F">
        <w:rPr>
          <w:rFonts w:ascii="Noto Sans" w:hAnsi="Noto Sans" w:cs="Noto Sans"/>
          <w:sz w:val="22"/>
          <w:szCs w:val="22"/>
        </w:rPr>
        <w:t xml:space="preserve">Presidencia de República. Plan Nacional de Desarrollo (PND) 2019-2024. </w:t>
      </w:r>
    </w:p>
    <w:p w14:paraId="7109464A"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hAnsi="Noto Sans" w:cs="Noto Sans"/>
          <w:sz w:val="22"/>
          <w:szCs w:val="22"/>
        </w:rPr>
      </w:pPr>
      <w:r w:rsidRPr="0089139F">
        <w:rPr>
          <w:rFonts w:ascii="Noto Sans" w:hAnsi="Noto Sans" w:cs="Noto Sans"/>
          <w:sz w:val="22"/>
          <w:szCs w:val="22"/>
        </w:rPr>
        <w:t>Secretaría de Salud. Programa Sectorial de Salud (PROSESA), 2020-2024.</w:t>
      </w:r>
    </w:p>
    <w:p w14:paraId="0BDA8A09" w14:textId="77777777" w:rsidR="0020644B" w:rsidRPr="0089139F" w:rsidRDefault="0020644B" w:rsidP="0020644B">
      <w:pPr>
        <w:numPr>
          <w:ilvl w:val="0"/>
          <w:numId w:val="13"/>
        </w:numPr>
        <w:spacing w:line="360" w:lineRule="auto"/>
        <w:jc w:val="both"/>
        <w:rPr>
          <w:rFonts w:ascii="Noto Sans" w:hAnsi="Noto Sans" w:cs="Noto Sans"/>
          <w:sz w:val="22"/>
          <w:szCs w:val="22"/>
        </w:rPr>
      </w:pPr>
      <w:r w:rsidRPr="0089139F">
        <w:rPr>
          <w:rFonts w:ascii="Noto Sans" w:eastAsia="Times" w:hAnsi="Noto Sans" w:cs="Noto Sans"/>
          <w:iCs/>
          <w:sz w:val="22"/>
          <w:szCs w:val="22"/>
        </w:rPr>
        <w:t xml:space="preserve">Subsecretaría de Prevención y Promoción de la Salud. Centro Nacional de Programas Preventivos y Control de Enfermedades (CENAPRECE). </w:t>
      </w:r>
      <w:r w:rsidRPr="0089139F">
        <w:rPr>
          <w:rFonts w:ascii="Noto Sans" w:hAnsi="Noto Sans" w:cs="Noto Sans"/>
          <w:sz w:val="22"/>
          <w:szCs w:val="22"/>
        </w:rPr>
        <w:t>Programa de Acción Específico Prevención y Control de Enfermedades Zoonóticas y Emergentes 2020-2024.</w:t>
      </w:r>
    </w:p>
    <w:p w14:paraId="59EE2634" w14:textId="77777777" w:rsidR="0020644B" w:rsidRPr="0089139F" w:rsidRDefault="0020644B" w:rsidP="0020644B">
      <w:pPr>
        <w:numPr>
          <w:ilvl w:val="0"/>
          <w:numId w:val="20"/>
        </w:numPr>
        <w:spacing w:line="360" w:lineRule="auto"/>
        <w:jc w:val="both"/>
        <w:rPr>
          <w:rFonts w:ascii="Noto Sans" w:hAnsi="Noto Sans" w:cs="Noto Sans"/>
          <w:sz w:val="22"/>
          <w:szCs w:val="22"/>
        </w:rPr>
      </w:pPr>
      <w:r w:rsidRPr="0089139F">
        <w:rPr>
          <w:rFonts w:ascii="Noto Sans" w:eastAsia="Times" w:hAnsi="Noto Sans" w:cs="Noto Sans"/>
          <w:iCs/>
          <w:sz w:val="22"/>
          <w:szCs w:val="22"/>
        </w:rPr>
        <w:t xml:space="preserve">Subsecretaría de Prevención y Promoción de la Salud. Centro Nacional de Programas Preventivos y Control de Enfermedades (CENAPRECE). </w:t>
      </w:r>
      <w:r w:rsidRPr="0089139F">
        <w:rPr>
          <w:rFonts w:ascii="Noto Sans" w:hAnsi="Noto Sans" w:cs="Noto Sans"/>
          <w:sz w:val="22"/>
          <w:szCs w:val="22"/>
        </w:rPr>
        <w:t>Programa de Acción Específico de Prevención, Detección y Control de las Enfermedades Bucales 2020-2024.</w:t>
      </w:r>
    </w:p>
    <w:p w14:paraId="203C75CE" w14:textId="77777777" w:rsidR="0020644B" w:rsidRPr="0089139F" w:rsidRDefault="0020644B" w:rsidP="0020644B">
      <w:pPr>
        <w:numPr>
          <w:ilvl w:val="0"/>
          <w:numId w:val="20"/>
        </w:numPr>
        <w:spacing w:line="360" w:lineRule="auto"/>
        <w:jc w:val="both"/>
        <w:rPr>
          <w:rFonts w:ascii="Noto Sans" w:hAnsi="Noto Sans" w:cs="Noto Sans"/>
          <w:sz w:val="22"/>
          <w:szCs w:val="22"/>
        </w:rPr>
      </w:pPr>
      <w:r w:rsidRPr="0089139F">
        <w:rPr>
          <w:rFonts w:ascii="Noto Sans" w:eastAsia="Times" w:hAnsi="Noto Sans" w:cs="Noto Sans"/>
          <w:iCs/>
          <w:sz w:val="22"/>
          <w:szCs w:val="22"/>
        </w:rPr>
        <w:t xml:space="preserve">Subsecretaría de Prevención y Promoción de la Salud. Centro Nacional de Programas Preventivos y Control de Enfermedades (CENAPRECE). </w:t>
      </w:r>
      <w:r w:rsidRPr="0089139F">
        <w:rPr>
          <w:rFonts w:ascii="Noto Sans" w:hAnsi="Noto Sans" w:cs="Noto Sans"/>
          <w:sz w:val="22"/>
          <w:szCs w:val="22"/>
        </w:rPr>
        <w:t>Programa de Acción Específico para la Prevención y Control de Enfermedades Respiratorias Crónicas 2020-2024.</w:t>
      </w:r>
    </w:p>
    <w:p w14:paraId="4A801C4E" w14:textId="77777777" w:rsidR="0020644B" w:rsidRPr="0089139F" w:rsidRDefault="0020644B" w:rsidP="0020644B">
      <w:pPr>
        <w:numPr>
          <w:ilvl w:val="0"/>
          <w:numId w:val="20"/>
        </w:numPr>
        <w:spacing w:line="360" w:lineRule="auto"/>
        <w:jc w:val="both"/>
        <w:rPr>
          <w:rFonts w:ascii="Noto Sans" w:hAnsi="Noto Sans" w:cs="Noto Sans"/>
          <w:sz w:val="22"/>
          <w:szCs w:val="22"/>
        </w:rPr>
      </w:pPr>
      <w:r w:rsidRPr="0089139F">
        <w:rPr>
          <w:rFonts w:ascii="Noto Sans" w:eastAsia="Times" w:hAnsi="Noto Sans" w:cs="Noto Sans"/>
          <w:iCs/>
          <w:sz w:val="22"/>
          <w:szCs w:val="22"/>
        </w:rPr>
        <w:t xml:space="preserve">Subsecretaría de Prevención y Promoción de la Salud. Centro Nacional de Programas Preventivos y Control de Enfermedades (CENAPRECE). </w:t>
      </w:r>
      <w:r w:rsidRPr="0089139F">
        <w:rPr>
          <w:rFonts w:ascii="Noto Sans" w:hAnsi="Noto Sans" w:cs="Noto Sans"/>
          <w:sz w:val="22"/>
          <w:szCs w:val="22"/>
        </w:rPr>
        <w:t>Programa Nacional de Prevención y Control de las micobacteriosis (Tuberculosis y Lepra) 2019-2024.</w:t>
      </w:r>
    </w:p>
    <w:p w14:paraId="2FCAA637" w14:textId="77777777" w:rsidR="0020644B" w:rsidRPr="0089139F" w:rsidRDefault="0020644B" w:rsidP="0020644B">
      <w:pPr>
        <w:numPr>
          <w:ilvl w:val="0"/>
          <w:numId w:val="20"/>
        </w:numPr>
        <w:spacing w:line="360" w:lineRule="auto"/>
        <w:jc w:val="both"/>
        <w:rPr>
          <w:rFonts w:ascii="Noto Sans" w:hAnsi="Noto Sans" w:cs="Noto Sans"/>
          <w:sz w:val="22"/>
          <w:szCs w:val="22"/>
        </w:rPr>
      </w:pPr>
      <w:r w:rsidRPr="0089139F">
        <w:rPr>
          <w:rFonts w:ascii="Noto Sans" w:eastAsia="Times" w:hAnsi="Noto Sans" w:cs="Noto Sans"/>
          <w:iCs/>
          <w:sz w:val="22"/>
          <w:szCs w:val="22"/>
        </w:rPr>
        <w:t xml:space="preserve">Subsecretaría de Prevención y Promoción de la Salud. Centro Nacional de Programas Preventivos y Control de Enfermedades (CENAPRECE). </w:t>
      </w:r>
      <w:r w:rsidRPr="0089139F">
        <w:rPr>
          <w:rFonts w:ascii="Noto Sans" w:hAnsi="Noto Sans" w:cs="Noto Sans"/>
          <w:sz w:val="22"/>
          <w:szCs w:val="22"/>
        </w:rPr>
        <w:t>Programa Nacional de Prevención y Control de Infecciones Respiratorias Agudas (Neumonías, Influenza y COVID-19) 2020-2024.</w:t>
      </w:r>
    </w:p>
    <w:p w14:paraId="0C576992" w14:textId="77777777" w:rsidR="0020644B" w:rsidRPr="0089139F" w:rsidRDefault="0020644B" w:rsidP="0020644B">
      <w:pPr>
        <w:numPr>
          <w:ilvl w:val="0"/>
          <w:numId w:val="20"/>
        </w:numPr>
        <w:spacing w:line="360" w:lineRule="auto"/>
        <w:jc w:val="both"/>
        <w:rPr>
          <w:rFonts w:ascii="Noto Sans" w:hAnsi="Noto Sans" w:cs="Noto Sans"/>
          <w:sz w:val="22"/>
          <w:szCs w:val="22"/>
        </w:rPr>
      </w:pPr>
      <w:r w:rsidRPr="0089139F">
        <w:rPr>
          <w:rFonts w:ascii="Noto Sans" w:eastAsia="Times" w:hAnsi="Noto Sans" w:cs="Noto Sans"/>
          <w:iCs/>
          <w:sz w:val="22"/>
          <w:szCs w:val="22"/>
        </w:rPr>
        <w:t xml:space="preserve">Subsecretaría de Prevención y Promoción de la Salud. Centro Nacional de Programas Preventivos y Control de Enfermedades (CENAPRECE). </w:t>
      </w:r>
      <w:r w:rsidRPr="0089139F">
        <w:rPr>
          <w:rFonts w:ascii="Noto Sans" w:hAnsi="Noto Sans" w:cs="Noto Sans"/>
          <w:sz w:val="22"/>
          <w:szCs w:val="22"/>
        </w:rPr>
        <w:t>Programa de Acción Específico en Atención al Envejecimiento 2020-2024.</w:t>
      </w:r>
    </w:p>
    <w:p w14:paraId="1079B47F" w14:textId="77777777" w:rsidR="0020644B" w:rsidRPr="0089139F" w:rsidRDefault="0020644B" w:rsidP="0020644B">
      <w:pPr>
        <w:numPr>
          <w:ilvl w:val="0"/>
          <w:numId w:val="20"/>
        </w:numPr>
        <w:spacing w:line="360" w:lineRule="auto"/>
        <w:jc w:val="both"/>
        <w:rPr>
          <w:rFonts w:ascii="Noto Sans" w:hAnsi="Noto Sans" w:cs="Noto Sans"/>
          <w:sz w:val="22"/>
          <w:szCs w:val="22"/>
        </w:rPr>
      </w:pPr>
      <w:r w:rsidRPr="0089139F">
        <w:rPr>
          <w:rFonts w:ascii="Noto Sans" w:eastAsia="Times" w:hAnsi="Noto Sans" w:cs="Noto Sans"/>
          <w:iCs/>
          <w:sz w:val="22"/>
          <w:szCs w:val="22"/>
        </w:rPr>
        <w:t xml:space="preserve">Subsecretaría de Prevención y Promoción de la Salud. Centro Nacional de Programas Preventivos y Control de Enfermedades (CENAPRECE). </w:t>
      </w:r>
      <w:r w:rsidRPr="0089139F">
        <w:rPr>
          <w:rFonts w:ascii="Noto Sans" w:hAnsi="Noto Sans" w:cs="Noto Sans"/>
          <w:sz w:val="22"/>
          <w:szCs w:val="22"/>
        </w:rPr>
        <w:t>Programa de Prevención y Control de Enfermedades Transmitidas por Vectores e Intoxicación por Veneno de Artrópodos 2020-2024.</w:t>
      </w:r>
    </w:p>
    <w:p w14:paraId="280E374B" w14:textId="77777777" w:rsidR="0020644B" w:rsidRPr="0089139F" w:rsidRDefault="0020644B" w:rsidP="0020644B">
      <w:pPr>
        <w:numPr>
          <w:ilvl w:val="0"/>
          <w:numId w:val="20"/>
        </w:numPr>
        <w:spacing w:line="360" w:lineRule="auto"/>
        <w:jc w:val="both"/>
        <w:rPr>
          <w:rFonts w:ascii="Noto Sans" w:hAnsi="Noto Sans" w:cs="Noto Sans"/>
          <w:sz w:val="22"/>
          <w:szCs w:val="22"/>
        </w:rPr>
      </w:pPr>
      <w:r w:rsidRPr="0089139F">
        <w:rPr>
          <w:rFonts w:ascii="Noto Sans" w:eastAsia="Times" w:hAnsi="Noto Sans" w:cs="Noto Sans"/>
          <w:iCs/>
          <w:sz w:val="22"/>
          <w:szCs w:val="22"/>
        </w:rPr>
        <w:t xml:space="preserve">Subsecretaría de Prevención y Promoción de la Salud. Centro Nacional de Programas Preventivos y Control de Enfermedades (CENAPRECE). </w:t>
      </w:r>
      <w:r w:rsidRPr="0089139F">
        <w:rPr>
          <w:rFonts w:ascii="Noto Sans" w:hAnsi="Noto Sans" w:cs="Noto Sans"/>
          <w:sz w:val="22"/>
          <w:szCs w:val="22"/>
        </w:rPr>
        <w:t>Programa de Acción Específico Enfermedades Cardiometabólicas 2020-2024.</w:t>
      </w:r>
    </w:p>
    <w:p w14:paraId="446BF2D7" w14:textId="77777777" w:rsidR="0020644B" w:rsidRPr="0089139F" w:rsidRDefault="0020644B" w:rsidP="0020644B">
      <w:pPr>
        <w:numPr>
          <w:ilvl w:val="0"/>
          <w:numId w:val="20"/>
        </w:numPr>
        <w:spacing w:line="360" w:lineRule="auto"/>
        <w:jc w:val="both"/>
        <w:rPr>
          <w:rFonts w:ascii="Noto Sans" w:hAnsi="Noto Sans" w:cs="Noto Sans"/>
          <w:sz w:val="22"/>
          <w:szCs w:val="22"/>
        </w:rPr>
      </w:pPr>
      <w:r w:rsidRPr="0089139F">
        <w:rPr>
          <w:rFonts w:ascii="Noto Sans" w:eastAsia="Times" w:hAnsi="Noto Sans" w:cs="Noto Sans"/>
          <w:iCs/>
          <w:sz w:val="22"/>
          <w:szCs w:val="22"/>
        </w:rPr>
        <w:t>Subsecretaría de Prevención y Promoción de la Salud. Centro Nacional de Programas Preventivos y Control de Enfermedades (CENAPRECE).</w:t>
      </w:r>
      <w:r w:rsidRPr="0089139F">
        <w:rPr>
          <w:rFonts w:ascii="Noto Sans" w:hAnsi="Noto Sans" w:cs="Noto Sans"/>
          <w:sz w:val="22"/>
          <w:szCs w:val="22"/>
        </w:rPr>
        <w:t xml:space="preserve"> Programa de Acción Específico Prevención y Control de Enfermedades Diarreicas Agudas 2020-2024.</w:t>
      </w:r>
    </w:p>
    <w:p w14:paraId="7C4FFD97" w14:textId="77777777" w:rsidR="0020644B" w:rsidRPr="0089139F" w:rsidRDefault="0020644B" w:rsidP="0020644B">
      <w:pPr>
        <w:numPr>
          <w:ilvl w:val="0"/>
          <w:numId w:val="20"/>
        </w:numPr>
        <w:spacing w:line="360" w:lineRule="auto"/>
        <w:jc w:val="both"/>
        <w:rPr>
          <w:rFonts w:ascii="Noto Sans" w:hAnsi="Noto Sans" w:cs="Noto Sans"/>
          <w:sz w:val="22"/>
          <w:szCs w:val="22"/>
        </w:rPr>
      </w:pPr>
      <w:r w:rsidRPr="0089139F">
        <w:rPr>
          <w:rFonts w:ascii="Noto Sans" w:eastAsia="Times" w:hAnsi="Noto Sans" w:cs="Noto Sans"/>
          <w:iCs/>
          <w:sz w:val="22"/>
          <w:szCs w:val="22"/>
        </w:rPr>
        <w:t>Subsecretaría de Prevención y Promoción de la Salud. Centro Nacional de Programas Preventivos y Control de Enfermedades (CENAPRECE).</w:t>
      </w:r>
      <w:r w:rsidRPr="0089139F">
        <w:rPr>
          <w:rFonts w:ascii="Noto Sans" w:hAnsi="Noto Sans" w:cs="Noto Sans"/>
          <w:sz w:val="22"/>
          <w:szCs w:val="22"/>
        </w:rPr>
        <w:t xml:space="preserve"> Programa de Acción Específico Emergencias en Salud 2020-2024.</w:t>
      </w:r>
    </w:p>
    <w:p w14:paraId="23C081BE"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Subsecretaría de Prevención y Promoción de la Salud. Centro Nacional de Programas Preventivos y Control de Enfermedades (CENAPRECE). Nota Informativa. Convenios AFASPE. 19 de octubre de 2020.</w:t>
      </w:r>
    </w:p>
    <w:p w14:paraId="2B3E217A"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Subsecretaría de Prevención y Promoción de la Salud. Centro Nacional de Programas Preventivos y Control de Enfermedades (CENAPRECE). Nota Informativa. Objetivos de Desarrollo Sostenible. 20 de octubre de 2020.</w:t>
      </w:r>
    </w:p>
    <w:p w14:paraId="09971BCB"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Subsecretaría de Prevención y Promoción de la Salud. Instituto de Diagnóstico y Referencia Epidemiológicos (InDRE). Alineación PAE-SIAFFASPE 2018.</w:t>
      </w:r>
    </w:p>
    <w:p w14:paraId="0511DF64"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Subsecretaría de Prevención y Promoción de la Salud. Instituto de Diagnóstico y Referencia Epidemiológicos (InDRE). Alineación PND-PROSESA-MIR 2018 Final.</w:t>
      </w:r>
    </w:p>
    <w:p w14:paraId="19B3ABFD"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Subsecretaría de Prevención y Promoción de la Salud. Instituto de Diagnóstico y Referencia Epidemiológicos (InDRE). Alineación PND-PROSESA-MIR-PAE-SIAFFASPE.</w:t>
      </w:r>
    </w:p>
    <w:p w14:paraId="1CD9C647" w14:textId="77777777" w:rsidR="0020644B" w:rsidRPr="0089139F" w:rsidRDefault="0020644B" w:rsidP="0020644B">
      <w:pPr>
        <w:numPr>
          <w:ilvl w:val="0"/>
          <w:numId w:val="13"/>
        </w:numPr>
        <w:tabs>
          <w:tab w:val="left" w:pos="975"/>
        </w:tabs>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Subsecretaría de Prevención y Promoción de la Salud. Centro Nacional de Programas Preventivos y Control de Enfermedades (CENAPRECE). Informes Trimestrales 2019 del Programa presupuestario U009.</w:t>
      </w:r>
    </w:p>
    <w:p w14:paraId="69986290"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Subsecretaría de Prevención y Promoción de la Salud. Centro Nacional de Programas Preventivos y Control de Enfermedades (CENAPRECE). Alineación de la Matriz de Indicadores para Resultados (MIR) al Programa Sectorial de Salud (PROSESA) 2013-2018.</w:t>
      </w:r>
    </w:p>
    <w:p w14:paraId="160A272D"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Subsecretaría de Prevención y Promoción de la Salud. Centro Nacional de Programas Preventivos y Control de Enfermedades (CENAPRECE). Aspectos Susceptibles de Mejora. Septiembre de 2019.</w:t>
      </w:r>
    </w:p>
    <w:p w14:paraId="1E8D9C4D"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Subsecretaría de Prevención y Promoción de la Salud. Centro Nacional de Programas Preventivos y Control de Enfermedades (CENAPRECE). Aspectos Susceptibles de Mejora. Marzo de 2020.</w:t>
      </w:r>
    </w:p>
    <w:p w14:paraId="39B1FD3B"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Consejo Nacional de Evaluación de la Política de Desarrollo Social (CONVEAL). Informe de Seguimiento a los Aspectos Susceptibles de Mejora de los Programas y Acciones Federales de Desarrollo Social 2019-2020.</w:t>
      </w:r>
    </w:p>
    <w:p w14:paraId="7C4C904E"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Consejo Nacional de Evaluación de la Política de Desarrollo Social (CONVEAL). Ficha de Monitoreo 2012-2013. Programa presupuestario U009 “Vigilancia Epidemiológica”.</w:t>
      </w:r>
    </w:p>
    <w:p w14:paraId="2048F24E"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Consejo Nacional de Evaluación de la Política de Desarrollo Social (CONVEAL). Ficha de Monitoreo 2013. Programa presupuestario U009 “Vigilancia Epidemiológica”.</w:t>
      </w:r>
    </w:p>
    <w:p w14:paraId="29845874"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Consejo Nacional de Evaluación de la Política de Desarrollo Social (CONVEAL). Ficha de Monitoreo 2014. Programa presupuestario U009 “Vigilancia Epidemiológica”.</w:t>
      </w:r>
    </w:p>
    <w:p w14:paraId="554223DE"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Consejo Nacional de Evaluación de la Política de Desarrollo Social (CONVEAL). Informe de Evaluación Específica del Desempeño 2014-2015. Programa presupuestario U009 “Vigilancia Epidemiológica”.</w:t>
      </w:r>
    </w:p>
    <w:p w14:paraId="6566F1A9"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Consejo Nacional de Evaluación de la Política de Desarrollo Social (CONVEAL). Informe de Evaluación Específica del Desempeño 2014-2015. Opinión Institucional. Programa presupuestario U009 “Vigilancia Epidemiológica”.</w:t>
      </w:r>
    </w:p>
    <w:p w14:paraId="3951BD75"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Consejo Nacional de Evaluación de la Política de Desarrollo Social (CONVEAL). Ficha de Monitoreo 2015-2016. Programa presupuestario U009 “Vigilancia Epidemiológica”.</w:t>
      </w:r>
    </w:p>
    <w:p w14:paraId="0FDDFBE9"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Consejo Nacional de Evaluación de la Política de Desarrollo Social (CONVEAL). Ficha de Monitoreo 2015-2016. Posición Institucional. Programa presupuestario U009 “Vigilancia Epidemiológica”.</w:t>
      </w:r>
    </w:p>
    <w:p w14:paraId="5215DB48"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Consejo Nacional de Evaluación de la Política de Desarrollo Social (CONVEAL). Ficha de Monitoreo 2016-2017. Programa presupuestario U009 “Vigilancia Epidemiológica”.</w:t>
      </w:r>
    </w:p>
    <w:p w14:paraId="2B8A377E"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Consejo Nacional de Evaluación de la Política de Desarrollo Social (CONVEAL). Ficha de Monitoreo 2016-2017. Opinión Institucional. Programa presupuestario U009 “Vigilancia Epidemiológica”.</w:t>
      </w:r>
    </w:p>
    <w:p w14:paraId="707FAA8C"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Consejo Nacional de Evaluación de la Política de Desarrollo Social (CONVEAL). Ficha de Monitoreo 2017-2018. Programa presupuestario U009 “Vigilancia Epidemiológica”.</w:t>
      </w:r>
    </w:p>
    <w:p w14:paraId="6CBEAB87"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Consejo Nacional de Evaluación de la Política de Desarrollo Social (CONVEAL). Ficha de Monitoreo 2017-2018. Opinión Institucional. Programa presupuestario U009 “Vigilancia Epidemiológica”.</w:t>
      </w:r>
    </w:p>
    <w:p w14:paraId="69C73ED2"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eastAsia="Times" w:hAnsi="Noto Sans" w:cs="Noto Sans"/>
          <w:iCs/>
          <w:sz w:val="22"/>
          <w:szCs w:val="22"/>
        </w:rPr>
      </w:pPr>
      <w:r w:rsidRPr="0089139F">
        <w:rPr>
          <w:rFonts w:ascii="Noto Sans" w:eastAsia="Times" w:hAnsi="Noto Sans" w:cs="Noto Sans"/>
          <w:iCs/>
          <w:sz w:val="22"/>
          <w:szCs w:val="22"/>
        </w:rPr>
        <w:t xml:space="preserve">Norma Oficial Mexicana NOM-017-SSA2-2012, para la Vigilancia Epidemiológica. Publicada el Diario Oficial de la Federación (DOF) 19-02-2013. </w:t>
      </w:r>
    </w:p>
    <w:p w14:paraId="1BC1E3F8"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hAnsi="Noto Sans" w:cs="Noto Sans"/>
          <w:sz w:val="22"/>
          <w:szCs w:val="22"/>
        </w:rPr>
      </w:pPr>
      <w:r w:rsidRPr="0089139F">
        <w:rPr>
          <w:rFonts w:ascii="Noto Sans" w:eastAsia="Times" w:hAnsi="Noto Sans" w:cs="Noto Sans"/>
          <w:iCs/>
          <w:sz w:val="22"/>
          <w:szCs w:val="22"/>
        </w:rPr>
        <w:t>Subsecretaría de Prevención y Promoción de la Salud. Manual de Procedimientos del CENAPRECE.</w:t>
      </w:r>
    </w:p>
    <w:p w14:paraId="78536739" w14:textId="77777777" w:rsidR="0020644B" w:rsidRPr="0089139F" w:rsidRDefault="0020644B" w:rsidP="0020644B">
      <w:pPr>
        <w:numPr>
          <w:ilvl w:val="0"/>
          <w:numId w:val="13"/>
        </w:numPr>
        <w:suppressAutoHyphens/>
        <w:overflowPunct w:val="0"/>
        <w:autoSpaceDE w:val="0"/>
        <w:autoSpaceDN w:val="0"/>
        <w:adjustRightInd w:val="0"/>
        <w:spacing w:line="360" w:lineRule="auto"/>
        <w:jc w:val="both"/>
        <w:textAlignment w:val="baseline"/>
        <w:rPr>
          <w:rFonts w:ascii="Noto Sans" w:hAnsi="Noto Sans" w:cs="Noto Sans"/>
          <w:sz w:val="22"/>
          <w:szCs w:val="22"/>
        </w:rPr>
      </w:pPr>
      <w:r w:rsidRPr="0089139F">
        <w:rPr>
          <w:rFonts w:ascii="Noto Sans" w:eastAsia="Times" w:hAnsi="Noto Sans" w:cs="Noto Sans"/>
          <w:iCs/>
          <w:sz w:val="22"/>
          <w:szCs w:val="22"/>
        </w:rPr>
        <w:t>Subsecretaría de Prevención y Promoción de la Salud. Dirección General de Epidemiología (DGE). Manual de Procedimientos de la Dirección General de Epidemiología.</w:t>
      </w:r>
    </w:p>
    <w:p w14:paraId="32ABF683" w14:textId="77777777" w:rsidR="0020644B" w:rsidRPr="0089139F" w:rsidRDefault="0020644B" w:rsidP="0020644B">
      <w:pPr>
        <w:numPr>
          <w:ilvl w:val="0"/>
          <w:numId w:val="13"/>
        </w:numPr>
        <w:spacing w:after="160" w:line="360" w:lineRule="auto"/>
        <w:contextualSpacing/>
        <w:jc w:val="both"/>
        <w:rPr>
          <w:rFonts w:ascii="Noto Sans" w:hAnsi="Noto Sans" w:cs="Noto Sans"/>
          <w:sz w:val="22"/>
          <w:szCs w:val="22"/>
        </w:rPr>
      </w:pPr>
      <w:r w:rsidRPr="0089139F">
        <w:rPr>
          <w:rFonts w:ascii="Noto Sans" w:hAnsi="Noto Sans" w:cs="Noto Sans"/>
          <w:sz w:val="22"/>
          <w:szCs w:val="22"/>
        </w:rPr>
        <w:t>Secretaría de Hacienda y Crédito Público. Estructura programática a emplear en el proyecto de Presupuesto de Egresos de la Federación 2021.</w:t>
      </w:r>
    </w:p>
    <w:p w14:paraId="0A1CBC5C" w14:textId="77777777" w:rsidR="0020644B" w:rsidRPr="0089139F" w:rsidRDefault="0020644B" w:rsidP="0020644B">
      <w:pPr>
        <w:suppressAutoHyphens/>
        <w:overflowPunct w:val="0"/>
        <w:autoSpaceDE w:val="0"/>
        <w:autoSpaceDN w:val="0"/>
        <w:adjustRightInd w:val="0"/>
        <w:spacing w:line="360" w:lineRule="auto"/>
        <w:ind w:left="720"/>
        <w:jc w:val="both"/>
        <w:textAlignment w:val="baseline"/>
        <w:rPr>
          <w:rFonts w:ascii="Noto Sans" w:hAnsi="Noto Sans" w:cs="Noto Sans"/>
          <w:sz w:val="22"/>
          <w:szCs w:val="22"/>
        </w:rPr>
      </w:pPr>
    </w:p>
    <w:p w14:paraId="0B72D4D1" w14:textId="77777777" w:rsidR="0020644B" w:rsidRPr="0089139F" w:rsidRDefault="0020644B" w:rsidP="0020644B">
      <w:pPr>
        <w:suppressAutoHyphens/>
        <w:overflowPunct w:val="0"/>
        <w:autoSpaceDE w:val="0"/>
        <w:autoSpaceDN w:val="0"/>
        <w:adjustRightInd w:val="0"/>
        <w:spacing w:line="360" w:lineRule="auto"/>
        <w:jc w:val="both"/>
        <w:textAlignment w:val="baseline"/>
        <w:rPr>
          <w:rFonts w:ascii="Noto Sans" w:hAnsi="Noto Sans" w:cs="Noto Sans"/>
          <w:sz w:val="22"/>
          <w:szCs w:val="22"/>
        </w:rPr>
      </w:pPr>
    </w:p>
    <w:p w14:paraId="4F5AFCAA" w14:textId="77777777" w:rsidR="0020644B" w:rsidRPr="0089139F" w:rsidRDefault="0020644B" w:rsidP="0020644B">
      <w:pPr>
        <w:pBdr>
          <w:top w:val="nil"/>
          <w:left w:val="nil"/>
          <w:bottom w:val="nil"/>
          <w:right w:val="nil"/>
          <w:between w:val="nil"/>
        </w:pBdr>
        <w:spacing w:before="240" w:after="120" w:line="360" w:lineRule="auto"/>
        <w:ind w:firstLine="465"/>
        <w:jc w:val="both"/>
        <w:rPr>
          <w:rFonts w:ascii="Noto Sans" w:eastAsia="Arial" w:hAnsi="Noto Sans" w:cs="Noto Sans"/>
          <w:b/>
          <w:color w:val="000000"/>
          <w:sz w:val="22"/>
          <w:szCs w:val="22"/>
        </w:rPr>
      </w:pPr>
      <w:r w:rsidRPr="0089139F">
        <w:rPr>
          <w:rFonts w:ascii="Noto Sans" w:eastAsia="Arial" w:hAnsi="Noto Sans" w:cs="Noto Sans"/>
          <w:b/>
          <w:color w:val="000000"/>
          <w:sz w:val="22"/>
          <w:szCs w:val="22"/>
        </w:rPr>
        <w:t>Publicaciones</w:t>
      </w:r>
    </w:p>
    <w:p w14:paraId="709BDC13" w14:textId="77777777" w:rsidR="0020644B" w:rsidRPr="0089139F" w:rsidRDefault="0020644B" w:rsidP="0020644B">
      <w:pPr>
        <w:spacing w:after="160" w:line="259" w:lineRule="auto"/>
        <w:ind w:left="720"/>
        <w:contextualSpacing/>
        <w:jc w:val="both"/>
        <w:rPr>
          <w:rFonts w:ascii="Noto Sans" w:eastAsia="Century Gothic" w:hAnsi="Noto Sans" w:cs="Noto Sans"/>
        </w:rPr>
      </w:pPr>
    </w:p>
    <w:p w14:paraId="2656A856" w14:textId="77777777" w:rsidR="0020644B" w:rsidRPr="0089139F" w:rsidRDefault="0020644B" w:rsidP="0020644B">
      <w:pPr>
        <w:numPr>
          <w:ilvl w:val="0"/>
          <w:numId w:val="14"/>
        </w:numPr>
        <w:spacing w:after="160" w:line="360" w:lineRule="auto"/>
        <w:contextualSpacing/>
        <w:jc w:val="both"/>
        <w:rPr>
          <w:rFonts w:ascii="Noto Sans" w:hAnsi="Noto Sans" w:cs="Noto Sans"/>
          <w:sz w:val="22"/>
          <w:szCs w:val="22"/>
        </w:rPr>
      </w:pPr>
      <w:r w:rsidRPr="0089139F">
        <w:rPr>
          <w:rFonts w:ascii="Noto Sans" w:eastAsia="Century Gothic" w:hAnsi="Noto Sans" w:cs="Noto Sans"/>
          <w:sz w:val="22"/>
          <w:szCs w:val="22"/>
        </w:rPr>
        <w:t>Centro de Investigación en Políticas, Población y Salud de la Facultad de Medicina de la UNAM. Evaluación de Consistencia y Resultados realizado sobre el ejercicio 2019.</w:t>
      </w:r>
    </w:p>
    <w:p w14:paraId="6584A037" w14:textId="77777777" w:rsidR="0020644B" w:rsidRPr="0089139F" w:rsidRDefault="0020644B" w:rsidP="0020644B">
      <w:pPr>
        <w:numPr>
          <w:ilvl w:val="0"/>
          <w:numId w:val="14"/>
        </w:numPr>
        <w:spacing w:after="160" w:line="360" w:lineRule="auto"/>
        <w:contextualSpacing/>
        <w:jc w:val="both"/>
        <w:rPr>
          <w:rFonts w:ascii="Noto Sans" w:hAnsi="Noto Sans" w:cs="Noto Sans"/>
          <w:sz w:val="22"/>
          <w:szCs w:val="22"/>
        </w:rPr>
      </w:pPr>
      <w:r w:rsidRPr="0089139F">
        <w:rPr>
          <w:rFonts w:ascii="Noto Sans" w:hAnsi="Noto Sans" w:cs="Noto Sans"/>
          <w:sz w:val="22"/>
          <w:szCs w:val="22"/>
        </w:rPr>
        <w:t>Instituto Nacional de Salud Pública. Encuesta Nacional de Salud y Nutrición (ENSANUT) 2018.</w:t>
      </w:r>
    </w:p>
    <w:p w14:paraId="2C0347EE" w14:textId="77777777" w:rsidR="0020644B" w:rsidRPr="0089139F" w:rsidRDefault="0020644B" w:rsidP="0020644B">
      <w:pPr>
        <w:numPr>
          <w:ilvl w:val="0"/>
          <w:numId w:val="14"/>
        </w:numPr>
        <w:spacing w:after="160" w:line="360" w:lineRule="auto"/>
        <w:contextualSpacing/>
        <w:jc w:val="both"/>
        <w:rPr>
          <w:rFonts w:ascii="Noto Sans" w:hAnsi="Noto Sans" w:cs="Noto Sans"/>
          <w:sz w:val="22"/>
          <w:szCs w:val="22"/>
        </w:rPr>
      </w:pPr>
      <w:r w:rsidRPr="0089139F">
        <w:rPr>
          <w:rFonts w:ascii="Noto Sans" w:hAnsi="Noto Sans" w:cs="Noto Sans"/>
          <w:sz w:val="22"/>
          <w:szCs w:val="22"/>
        </w:rPr>
        <w:t>Secretaría de Salud. Dirección General de Epidemiología.  Anuarios de morbilidad, México. 2021.</w:t>
      </w:r>
    </w:p>
    <w:p w14:paraId="14EB4929" w14:textId="77777777" w:rsidR="0020644B" w:rsidRPr="0089139F" w:rsidRDefault="0020644B" w:rsidP="0020644B">
      <w:pPr>
        <w:numPr>
          <w:ilvl w:val="0"/>
          <w:numId w:val="14"/>
        </w:numPr>
        <w:spacing w:after="160" w:line="360" w:lineRule="auto"/>
        <w:contextualSpacing/>
        <w:jc w:val="both"/>
        <w:rPr>
          <w:rFonts w:ascii="Noto Sans" w:hAnsi="Noto Sans" w:cs="Noto Sans"/>
          <w:sz w:val="22"/>
          <w:szCs w:val="22"/>
        </w:rPr>
      </w:pPr>
      <w:r w:rsidRPr="0089139F">
        <w:rPr>
          <w:rFonts w:ascii="Noto Sans" w:hAnsi="Noto Sans" w:cs="Noto Sans"/>
          <w:sz w:val="22"/>
          <w:szCs w:val="22"/>
        </w:rPr>
        <w:t>Secretaría de Salud. Dirección General de Epidemiología.  Anuarios de mortalidad, México. 2019.</w:t>
      </w:r>
    </w:p>
    <w:p w14:paraId="21625940" w14:textId="77777777" w:rsidR="0020644B" w:rsidRPr="0089139F" w:rsidRDefault="0020644B" w:rsidP="0020644B">
      <w:pPr>
        <w:numPr>
          <w:ilvl w:val="0"/>
          <w:numId w:val="14"/>
        </w:numPr>
        <w:spacing w:after="160" w:line="360" w:lineRule="auto"/>
        <w:contextualSpacing/>
        <w:jc w:val="both"/>
        <w:rPr>
          <w:rFonts w:ascii="Noto Sans" w:hAnsi="Noto Sans" w:cs="Noto Sans"/>
          <w:sz w:val="22"/>
          <w:szCs w:val="22"/>
        </w:rPr>
      </w:pPr>
      <w:r w:rsidRPr="0089139F">
        <w:rPr>
          <w:rFonts w:ascii="Noto Sans" w:hAnsi="Noto Sans" w:cs="Noto Sans"/>
          <w:sz w:val="22"/>
          <w:szCs w:val="22"/>
        </w:rPr>
        <w:t>Secretaría de Salud. Lineamientos de Reconversión Hospitalaria.</w:t>
      </w:r>
    </w:p>
    <w:p w14:paraId="5506BE4C" w14:textId="77777777" w:rsidR="0020644B" w:rsidRPr="0089139F" w:rsidRDefault="0020644B" w:rsidP="0020644B">
      <w:pPr>
        <w:numPr>
          <w:ilvl w:val="0"/>
          <w:numId w:val="14"/>
        </w:numPr>
        <w:spacing w:after="160" w:line="360" w:lineRule="auto"/>
        <w:contextualSpacing/>
        <w:jc w:val="both"/>
        <w:rPr>
          <w:rFonts w:ascii="Noto Sans" w:hAnsi="Noto Sans" w:cs="Noto Sans"/>
          <w:sz w:val="22"/>
          <w:szCs w:val="22"/>
        </w:rPr>
      </w:pPr>
      <w:r w:rsidRPr="0089139F">
        <w:rPr>
          <w:rFonts w:ascii="Noto Sans" w:hAnsi="Noto Sans" w:cs="Noto Sans"/>
          <w:sz w:val="22"/>
          <w:szCs w:val="22"/>
        </w:rPr>
        <w:t>Secretaría de Salud. Dirección General de Epidemiología. SUIVE 2018 y 2019.</w:t>
      </w:r>
    </w:p>
    <w:p w14:paraId="7EBF3F79" w14:textId="77777777" w:rsidR="0020644B" w:rsidRPr="0089139F" w:rsidRDefault="0020644B" w:rsidP="0020644B">
      <w:pPr>
        <w:numPr>
          <w:ilvl w:val="0"/>
          <w:numId w:val="14"/>
        </w:numPr>
        <w:spacing w:after="160" w:line="360" w:lineRule="auto"/>
        <w:contextualSpacing/>
        <w:jc w:val="both"/>
        <w:rPr>
          <w:rFonts w:ascii="Noto Sans" w:hAnsi="Noto Sans" w:cs="Noto Sans"/>
          <w:sz w:val="22"/>
          <w:szCs w:val="22"/>
        </w:rPr>
      </w:pPr>
      <w:r w:rsidRPr="0089139F">
        <w:rPr>
          <w:rFonts w:ascii="Noto Sans" w:hAnsi="Noto Sans" w:cs="Noto Sans"/>
          <w:sz w:val="22"/>
          <w:szCs w:val="22"/>
        </w:rPr>
        <w:t>Panamericana de la Salud. La COVID 19 afectó el funcionamiento de los servicios de salud para enfermedades no transmisibles en las Américas.</w:t>
      </w:r>
    </w:p>
    <w:p w14:paraId="09F30B4F" w14:textId="77777777" w:rsidR="0020644B" w:rsidRPr="0089139F" w:rsidRDefault="0020644B" w:rsidP="0020644B">
      <w:pPr>
        <w:spacing w:line="360" w:lineRule="auto"/>
        <w:rPr>
          <w:rFonts w:ascii="Noto Sans" w:hAnsi="Noto Sans" w:cs="Noto Sans"/>
          <w:sz w:val="22"/>
          <w:szCs w:val="22"/>
        </w:rPr>
      </w:pPr>
    </w:p>
    <w:p w14:paraId="142FB21A" w14:textId="77777777" w:rsidR="0089139F" w:rsidRPr="0089139F" w:rsidRDefault="0089139F" w:rsidP="0020644B">
      <w:pPr>
        <w:pBdr>
          <w:top w:val="nil"/>
          <w:left w:val="nil"/>
          <w:bottom w:val="nil"/>
          <w:right w:val="nil"/>
          <w:between w:val="nil"/>
        </w:pBdr>
        <w:spacing w:before="240" w:after="120" w:line="360" w:lineRule="auto"/>
        <w:ind w:firstLine="465"/>
        <w:jc w:val="both"/>
        <w:rPr>
          <w:rFonts w:ascii="Noto Sans" w:eastAsia="Arial" w:hAnsi="Noto Sans" w:cs="Noto Sans"/>
          <w:b/>
          <w:color w:val="000000"/>
          <w:sz w:val="22"/>
          <w:szCs w:val="22"/>
        </w:rPr>
      </w:pPr>
    </w:p>
    <w:p w14:paraId="099AA9F9" w14:textId="77777777" w:rsidR="0020644B" w:rsidRPr="0089139F" w:rsidRDefault="0020644B" w:rsidP="0020644B">
      <w:pPr>
        <w:rPr>
          <w:rFonts w:ascii="Noto Sans" w:hAnsi="Noto Sans" w:cs="Noto Sans"/>
          <w:color w:val="0F243E" w:themeColor="text2" w:themeShade="80"/>
          <w:sz w:val="22"/>
          <w:szCs w:val="22"/>
        </w:rPr>
      </w:pPr>
    </w:p>
    <w:p w14:paraId="0D7777EC" w14:textId="77777777" w:rsidR="0020644B" w:rsidRPr="0089139F" w:rsidRDefault="0020644B" w:rsidP="0020644B">
      <w:pPr>
        <w:rPr>
          <w:rFonts w:ascii="Noto Sans" w:hAnsi="Noto Sans" w:cs="Noto Sans"/>
          <w:color w:val="0F243E" w:themeColor="text2" w:themeShade="80"/>
          <w:sz w:val="22"/>
          <w:szCs w:val="22"/>
        </w:rPr>
      </w:pPr>
    </w:p>
    <w:p w14:paraId="3B4050A2" w14:textId="77777777" w:rsidR="0020644B" w:rsidRPr="0089139F" w:rsidRDefault="0020644B" w:rsidP="0020644B">
      <w:pPr>
        <w:shd w:val="clear" w:color="auto" w:fill="FFFFFF"/>
        <w:jc w:val="both"/>
        <w:rPr>
          <w:rFonts w:ascii="Noto Sans" w:eastAsia="Century Gothic" w:hAnsi="Noto Sans" w:cs="Noto Sans"/>
          <w:sz w:val="22"/>
          <w:szCs w:val="22"/>
        </w:rPr>
      </w:pPr>
    </w:p>
    <w:p w14:paraId="2D621DA9" w14:textId="77777777" w:rsidR="0020644B" w:rsidRPr="0089139F" w:rsidRDefault="0020644B" w:rsidP="0020644B">
      <w:pPr>
        <w:autoSpaceDE w:val="0"/>
        <w:autoSpaceDN w:val="0"/>
        <w:adjustRightInd w:val="0"/>
        <w:spacing w:line="276" w:lineRule="auto"/>
        <w:jc w:val="both"/>
        <w:rPr>
          <w:rFonts w:ascii="Noto Sans" w:eastAsia="Century Gothic" w:hAnsi="Noto Sans" w:cs="Noto Sans"/>
          <w:sz w:val="22"/>
          <w:szCs w:val="22"/>
        </w:rPr>
      </w:pPr>
      <w:r w:rsidRPr="0089139F">
        <w:rPr>
          <w:rFonts w:ascii="Noto Sans" w:hAnsi="Noto Sans" w:cs="Noto Sans"/>
          <w:sz w:val="20"/>
          <w:szCs w:val="20"/>
          <w:lang w:val="es-MX"/>
        </w:rPr>
        <w:t xml:space="preserve"> </w:t>
      </w:r>
    </w:p>
    <w:p w14:paraId="2818A8D3" w14:textId="77777777" w:rsidR="0020644B" w:rsidRPr="0089139F" w:rsidRDefault="0020644B" w:rsidP="0020644B">
      <w:pPr>
        <w:rPr>
          <w:rFonts w:ascii="Noto Sans" w:hAnsi="Noto Sans" w:cs="Noto Sans"/>
          <w:color w:val="0F243E" w:themeColor="text2" w:themeShade="80"/>
          <w:sz w:val="22"/>
          <w:szCs w:val="22"/>
        </w:rPr>
      </w:pPr>
    </w:p>
    <w:p w14:paraId="6A003166" w14:textId="77777777" w:rsidR="00292429" w:rsidRPr="0089139F" w:rsidRDefault="00292429" w:rsidP="00292429">
      <w:pPr>
        <w:rPr>
          <w:rFonts w:ascii="Noto Sans" w:hAnsi="Noto Sans" w:cs="Noto Sans"/>
          <w:color w:val="0F243E" w:themeColor="text2" w:themeShade="80"/>
          <w:sz w:val="22"/>
          <w:szCs w:val="22"/>
        </w:rPr>
      </w:pPr>
    </w:p>
    <w:sectPr w:rsidR="00292429" w:rsidRPr="0089139F">
      <w:headerReference w:type="default" r:id="rId17"/>
      <w:footerReference w:type="default" r:id="rId18"/>
      <w:pgSz w:w="12240" w:h="15840"/>
      <w:pgMar w:top="1417" w:right="1041" w:bottom="1417"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7695C" w14:textId="77777777" w:rsidR="00F46AC9" w:rsidRDefault="00F46AC9">
      <w:r>
        <w:separator/>
      </w:r>
    </w:p>
  </w:endnote>
  <w:endnote w:type="continuationSeparator" w:id="0">
    <w:p w14:paraId="44F34D11" w14:textId="77777777" w:rsidR="00F46AC9" w:rsidRDefault="00F46AC9">
      <w:r>
        <w:continuationSeparator/>
      </w:r>
    </w:p>
  </w:endnote>
  <w:endnote w:type="continuationNotice" w:id="1">
    <w:p w14:paraId="6BD58EB6" w14:textId="77777777" w:rsidR="00F46AC9" w:rsidRDefault="00F46A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MinionPro-Regular">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Montserrat">
    <w:altName w:val="Montserrat"/>
    <w:panose1 w:val="00000500000000000000"/>
    <w:charset w:val="00"/>
    <w:family w:val="auto"/>
    <w:pitch w:val="variable"/>
    <w:sig w:usb0="2000020F" w:usb1="00000003" w:usb2="00000000" w:usb3="00000000" w:csb0="00000197" w:csb1="00000000"/>
  </w:font>
  <w:font w:name="Montserrat Medium">
    <w:altName w:val="Courier New"/>
    <w:panose1 w:val="00000600000000000000"/>
    <w:charset w:val="00"/>
    <w:family w:val="auto"/>
    <w:pitch w:val="variable"/>
    <w:sig w:usb0="2000020F" w:usb1="00000003" w:usb2="00000000" w:usb3="00000000" w:csb0="00000197" w:csb1="00000000"/>
  </w:font>
  <w:font w:name="Georgia">
    <w:panose1 w:val="02040502050405020303"/>
    <w:charset w:val="00"/>
    <w:family w:val="roman"/>
    <w:pitch w:val="variable"/>
    <w:sig w:usb0="00000287" w:usb1="00000000" w:usb2="00000000" w:usb3="00000000" w:csb0="0000009F" w:csb1="00000000"/>
  </w:font>
  <w:font w:name="Montserrat SemiBold">
    <w:altName w:val="Courier New"/>
    <w:panose1 w:val="00000700000000000000"/>
    <w:charset w:val="00"/>
    <w:family w:val="auto"/>
    <w:pitch w:val="variable"/>
    <w:sig w:usb0="2000020F" w:usb1="00000003" w:usb2="00000000" w:usb3="00000000" w:csb0="00000197" w:csb1="00000000"/>
  </w:font>
  <w:font w:name="Noto Sans">
    <w:panose1 w:val="020B0502040504020204"/>
    <w:charset w:val="00"/>
    <w:family w:val="swiss"/>
    <w:pitch w:val="variable"/>
    <w:sig w:usb0="E00002FF" w:usb1="4000201F" w:usb2="08000029"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485095"/>
      <w:docPartObj>
        <w:docPartGallery w:val="Page Numbers (Bottom of Page)"/>
        <w:docPartUnique/>
      </w:docPartObj>
    </w:sdtPr>
    <w:sdtEndPr/>
    <w:sdtContent>
      <w:p w14:paraId="6CDDB529" w14:textId="20132B43" w:rsidR="003A11A3" w:rsidRDefault="003A11A3">
        <w:pPr>
          <w:pStyle w:val="Piedepgina"/>
          <w:jc w:val="right"/>
        </w:pPr>
        <w:r>
          <w:fldChar w:fldCharType="begin"/>
        </w:r>
        <w:r>
          <w:instrText>PAGE   \* MERGEFORMAT</w:instrText>
        </w:r>
        <w:r>
          <w:fldChar w:fldCharType="separate"/>
        </w:r>
        <w:r w:rsidR="00581E2F" w:rsidRPr="00581E2F">
          <w:rPr>
            <w:noProof/>
            <w:lang w:val="es-ES"/>
          </w:rPr>
          <w:t>1</w:t>
        </w:r>
        <w:r>
          <w:fldChar w:fldCharType="end"/>
        </w:r>
      </w:p>
    </w:sdtContent>
  </w:sdt>
  <w:p w14:paraId="3E8BE806" w14:textId="45230E05" w:rsidR="003A11A3" w:rsidRDefault="003A11A3">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31BEA" w14:textId="77777777" w:rsidR="00F46AC9" w:rsidRDefault="00F46AC9">
      <w:r>
        <w:separator/>
      </w:r>
    </w:p>
  </w:footnote>
  <w:footnote w:type="continuationSeparator" w:id="0">
    <w:p w14:paraId="4D5CD215" w14:textId="77777777" w:rsidR="00F46AC9" w:rsidRDefault="00F46AC9">
      <w:r>
        <w:continuationSeparator/>
      </w:r>
    </w:p>
  </w:footnote>
  <w:footnote w:type="continuationNotice" w:id="1">
    <w:p w14:paraId="44627EDE" w14:textId="77777777" w:rsidR="00F46AC9" w:rsidRDefault="00F46AC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C1B04" w14:textId="77777777" w:rsidR="003A11A3" w:rsidRDefault="003A11A3">
    <w:pPr>
      <w:pBdr>
        <w:top w:val="nil"/>
        <w:left w:val="nil"/>
        <w:bottom w:val="nil"/>
        <w:right w:val="nil"/>
        <w:between w:val="nil"/>
      </w:pBdr>
      <w:tabs>
        <w:tab w:val="center" w:pos="4252"/>
        <w:tab w:val="right" w:pos="8504"/>
      </w:tabs>
      <w:rPr>
        <w:rFonts w:ascii="Montserrat" w:eastAsia="Montserrat" w:hAnsi="Montserrat" w:cs="Montserrat"/>
        <w:color w:val="807F83"/>
        <w:sz w:val="16"/>
        <w:szCs w:val="16"/>
      </w:rPr>
    </w:pPr>
    <w:r>
      <w:rPr>
        <w:color w:val="000000"/>
      </w:rPr>
      <w:t xml:space="preserve">                                       </w:t>
    </w:r>
  </w:p>
  <w:tbl>
    <w:tblPr>
      <w:tblStyle w:val="a0"/>
      <w:tblW w:w="5057" w:type="dxa"/>
      <w:tblInd w:w="0" w:type="dxa"/>
      <w:tblLayout w:type="fixed"/>
      <w:tblLook w:val="0400" w:firstRow="0" w:lastRow="0" w:firstColumn="0" w:lastColumn="0" w:noHBand="0" w:noVBand="1"/>
    </w:tblPr>
    <w:tblGrid>
      <w:gridCol w:w="5057"/>
    </w:tblGrid>
    <w:tr w:rsidR="0089139F" w14:paraId="613367F0" w14:textId="77777777" w:rsidTr="0089139F">
      <w:tc>
        <w:tcPr>
          <w:tcW w:w="5057" w:type="dxa"/>
          <w:shd w:val="clear" w:color="auto" w:fill="auto"/>
        </w:tcPr>
        <w:p w14:paraId="05250ED2" w14:textId="085AEE64" w:rsidR="0089139F" w:rsidRDefault="0089139F">
          <w:pPr>
            <w:pBdr>
              <w:top w:val="nil"/>
              <w:left w:val="nil"/>
              <w:bottom w:val="nil"/>
              <w:right w:val="nil"/>
              <w:between w:val="nil"/>
            </w:pBdr>
            <w:tabs>
              <w:tab w:val="center" w:pos="4252"/>
              <w:tab w:val="right" w:pos="8504"/>
            </w:tabs>
            <w:rPr>
              <w:rFonts w:ascii="Montserrat" w:eastAsia="Montserrat" w:hAnsi="Montserrat" w:cs="Montserrat"/>
              <w:color w:val="807F83"/>
              <w:sz w:val="16"/>
              <w:szCs w:val="16"/>
            </w:rPr>
          </w:pPr>
        </w:p>
      </w:tc>
    </w:tr>
  </w:tbl>
  <w:p w14:paraId="0C274300" w14:textId="77777777" w:rsidR="003A11A3" w:rsidRDefault="003A11A3">
    <w:pPr>
      <w:pBdr>
        <w:top w:val="nil"/>
        <w:left w:val="nil"/>
        <w:bottom w:val="nil"/>
        <w:right w:val="nil"/>
        <w:between w:val="nil"/>
      </w:pBdr>
      <w:tabs>
        <w:tab w:val="center" w:pos="4252"/>
        <w:tab w:val="right" w:pos="8504"/>
        <w:tab w:val="right" w:pos="9356"/>
      </w:tabs>
      <w:jc w:val="center"/>
      <w:rPr>
        <w:rFonts w:ascii="Montserrat" w:eastAsia="Montserrat" w:hAnsi="Montserrat" w:cs="Montserrat"/>
        <w:color w:val="807F83"/>
        <w:sz w:val="16"/>
        <w:szCs w:val="16"/>
      </w:rPr>
    </w:pPr>
  </w:p>
  <w:p w14:paraId="53C15133" w14:textId="77777777" w:rsidR="003A11A3" w:rsidRDefault="003A11A3">
    <w:pPr>
      <w:pBdr>
        <w:top w:val="nil"/>
        <w:left w:val="nil"/>
        <w:bottom w:val="nil"/>
        <w:right w:val="nil"/>
        <w:between w:val="nil"/>
      </w:pBdr>
      <w:tabs>
        <w:tab w:val="center" w:pos="4252"/>
        <w:tab w:val="right" w:pos="8504"/>
      </w:tabs>
      <w:ind w:right="-8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1CF8"/>
    <w:multiLevelType w:val="hybridMultilevel"/>
    <w:tmpl w:val="153E6A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4A976FC"/>
    <w:multiLevelType w:val="hybridMultilevel"/>
    <w:tmpl w:val="F7A28D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C2913"/>
    <w:multiLevelType w:val="hybridMultilevel"/>
    <w:tmpl w:val="0638D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37D45"/>
    <w:multiLevelType w:val="hybridMultilevel"/>
    <w:tmpl w:val="1E6EA5FA"/>
    <w:lvl w:ilvl="0" w:tplc="080A0001">
      <w:start w:val="1"/>
      <w:numFmt w:val="bullet"/>
      <w:lvlText w:val=""/>
      <w:lvlJc w:val="left"/>
      <w:pPr>
        <w:ind w:left="360" w:hanging="360"/>
      </w:pPr>
      <w:rPr>
        <w:rFonts w:ascii="Symbol" w:hAnsi="Symbo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09E957D5"/>
    <w:multiLevelType w:val="hybridMultilevel"/>
    <w:tmpl w:val="9AA67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EC30771"/>
    <w:multiLevelType w:val="hybridMultilevel"/>
    <w:tmpl w:val="51E89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16580B"/>
    <w:multiLevelType w:val="hybridMultilevel"/>
    <w:tmpl w:val="68284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A10CBD"/>
    <w:multiLevelType w:val="hybridMultilevel"/>
    <w:tmpl w:val="AC12D1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CB91BAD"/>
    <w:multiLevelType w:val="multilevel"/>
    <w:tmpl w:val="01B6FCD0"/>
    <w:lvl w:ilvl="0">
      <w:start w:val="1"/>
      <w:numFmt w:val="decimal"/>
      <w:lvlText w:val="%1."/>
      <w:lvlJc w:val="left"/>
      <w:pPr>
        <w:ind w:left="720" w:hanging="360"/>
      </w:pPr>
    </w:lvl>
    <w:lvl w:ilvl="1">
      <w:start w:val="6"/>
      <w:numFmt w:val="decimal"/>
      <w:lvlText w:val="%1.%2"/>
      <w:lvlJc w:val="left"/>
      <w:pPr>
        <w:ind w:left="1080" w:hanging="720"/>
      </w:pPr>
    </w:lvl>
    <w:lvl w:ilvl="2">
      <w:start w:val="3"/>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9" w15:restartNumberingAfterBreak="0">
    <w:nsid w:val="212124E7"/>
    <w:multiLevelType w:val="hybridMultilevel"/>
    <w:tmpl w:val="E6C6F3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0293EC0"/>
    <w:multiLevelType w:val="hybridMultilevel"/>
    <w:tmpl w:val="FC1667D6"/>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1" w15:restartNumberingAfterBreak="0">
    <w:nsid w:val="393572CF"/>
    <w:multiLevelType w:val="hybridMultilevel"/>
    <w:tmpl w:val="6C324E5A"/>
    <w:lvl w:ilvl="0" w:tplc="080A0001">
      <w:start w:val="1"/>
      <w:numFmt w:val="bullet"/>
      <w:lvlText w:val=""/>
      <w:lvlJc w:val="left"/>
      <w:pPr>
        <w:ind w:left="1425" w:hanging="705"/>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3A0F1A93"/>
    <w:multiLevelType w:val="hybridMultilevel"/>
    <w:tmpl w:val="520E4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A64202"/>
    <w:multiLevelType w:val="hybridMultilevel"/>
    <w:tmpl w:val="EF0063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A2A6A99"/>
    <w:multiLevelType w:val="hybridMultilevel"/>
    <w:tmpl w:val="ACF836E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FCE5A0C"/>
    <w:multiLevelType w:val="hybridMultilevel"/>
    <w:tmpl w:val="B2A88A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DC3509A"/>
    <w:multiLevelType w:val="hybridMultilevel"/>
    <w:tmpl w:val="BA32A8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2FC1C79"/>
    <w:multiLevelType w:val="hybridMultilevel"/>
    <w:tmpl w:val="2138C0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A7C5B31"/>
    <w:multiLevelType w:val="hybridMultilevel"/>
    <w:tmpl w:val="4A32E89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0815AE4"/>
    <w:multiLevelType w:val="multilevel"/>
    <w:tmpl w:val="8146D39A"/>
    <w:lvl w:ilvl="0">
      <w:start w:val="4"/>
      <w:numFmt w:val="decimal"/>
      <w:lvlText w:val="%1."/>
      <w:lvlJc w:val="left"/>
      <w:pPr>
        <w:ind w:left="465" w:hanging="465"/>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 w15:restartNumberingAfterBreak="0">
    <w:nsid w:val="71047243"/>
    <w:multiLevelType w:val="multilevel"/>
    <w:tmpl w:val="A9CEE2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3F9583C"/>
    <w:multiLevelType w:val="hybridMultilevel"/>
    <w:tmpl w:val="59C8E134"/>
    <w:lvl w:ilvl="0" w:tplc="01D465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D11A58"/>
    <w:multiLevelType w:val="hybridMultilevel"/>
    <w:tmpl w:val="1D267F34"/>
    <w:lvl w:ilvl="0" w:tplc="B7329590">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9"/>
  </w:num>
  <w:num w:numId="2">
    <w:abstractNumId w:val="20"/>
  </w:num>
  <w:num w:numId="3">
    <w:abstractNumId w:val="8"/>
  </w:num>
  <w:num w:numId="4">
    <w:abstractNumId w:val="22"/>
  </w:num>
  <w:num w:numId="5">
    <w:abstractNumId w:val="10"/>
  </w:num>
  <w:num w:numId="6">
    <w:abstractNumId w:val="14"/>
  </w:num>
  <w:num w:numId="7">
    <w:abstractNumId w:val="4"/>
  </w:num>
  <w:num w:numId="8">
    <w:abstractNumId w:val="18"/>
  </w:num>
  <w:num w:numId="9">
    <w:abstractNumId w:val="15"/>
  </w:num>
  <w:num w:numId="10">
    <w:abstractNumId w:val="9"/>
  </w:num>
  <w:num w:numId="11">
    <w:abstractNumId w:val="3"/>
  </w:num>
  <w:num w:numId="12">
    <w:abstractNumId w:val="17"/>
  </w:num>
  <w:num w:numId="13">
    <w:abstractNumId w:val="13"/>
  </w:num>
  <w:num w:numId="14">
    <w:abstractNumId w:val="16"/>
  </w:num>
  <w:num w:numId="15">
    <w:abstractNumId w:val="7"/>
  </w:num>
  <w:num w:numId="16">
    <w:abstractNumId w:val="21"/>
  </w:num>
  <w:num w:numId="17">
    <w:abstractNumId w:val="1"/>
  </w:num>
  <w:num w:numId="18">
    <w:abstractNumId w:val="11"/>
  </w:num>
  <w:num w:numId="19">
    <w:abstractNumId w:val="5"/>
  </w:num>
  <w:num w:numId="20">
    <w:abstractNumId w:val="12"/>
  </w:num>
  <w:num w:numId="21">
    <w:abstractNumId w:val="0"/>
  </w:num>
  <w:num w:numId="22">
    <w:abstractNumId w:val="2"/>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5FE"/>
    <w:rsid w:val="00010004"/>
    <w:rsid w:val="000270AF"/>
    <w:rsid w:val="000305FE"/>
    <w:rsid w:val="00030E40"/>
    <w:rsid w:val="00035EB1"/>
    <w:rsid w:val="00042B2D"/>
    <w:rsid w:val="000434FD"/>
    <w:rsid w:val="00060E6E"/>
    <w:rsid w:val="00061C72"/>
    <w:rsid w:val="0006678F"/>
    <w:rsid w:val="000874E6"/>
    <w:rsid w:val="000A429B"/>
    <w:rsid w:val="000A68B2"/>
    <w:rsid w:val="000C178D"/>
    <w:rsid w:val="000E14C2"/>
    <w:rsid w:val="000E4DF6"/>
    <w:rsid w:val="000F4168"/>
    <w:rsid w:val="000F5C2D"/>
    <w:rsid w:val="000F754A"/>
    <w:rsid w:val="00113185"/>
    <w:rsid w:val="001166A8"/>
    <w:rsid w:val="00136F8F"/>
    <w:rsid w:val="001555DF"/>
    <w:rsid w:val="00155B25"/>
    <w:rsid w:val="001724B7"/>
    <w:rsid w:val="001847D4"/>
    <w:rsid w:val="001905B4"/>
    <w:rsid w:val="001A6BB3"/>
    <w:rsid w:val="001B3114"/>
    <w:rsid w:val="001B7919"/>
    <w:rsid w:val="001D239B"/>
    <w:rsid w:val="001D7CAE"/>
    <w:rsid w:val="001F1B4F"/>
    <w:rsid w:val="001F2D40"/>
    <w:rsid w:val="0020024F"/>
    <w:rsid w:val="0020029E"/>
    <w:rsid w:val="002004DF"/>
    <w:rsid w:val="00205383"/>
    <w:rsid w:val="0020644B"/>
    <w:rsid w:val="00207029"/>
    <w:rsid w:val="0021089F"/>
    <w:rsid w:val="0021464A"/>
    <w:rsid w:val="00243525"/>
    <w:rsid w:val="00251362"/>
    <w:rsid w:val="0025786C"/>
    <w:rsid w:val="0026366B"/>
    <w:rsid w:val="00265CA0"/>
    <w:rsid w:val="0027396E"/>
    <w:rsid w:val="002759CF"/>
    <w:rsid w:val="002776A2"/>
    <w:rsid w:val="00284283"/>
    <w:rsid w:val="002878D6"/>
    <w:rsid w:val="00292429"/>
    <w:rsid w:val="002A0746"/>
    <w:rsid w:val="002A1E78"/>
    <w:rsid w:val="002B0EC5"/>
    <w:rsid w:val="002B1E26"/>
    <w:rsid w:val="002B5FB6"/>
    <w:rsid w:val="002C469C"/>
    <w:rsid w:val="002E762D"/>
    <w:rsid w:val="002F4FF8"/>
    <w:rsid w:val="003137FC"/>
    <w:rsid w:val="003152AA"/>
    <w:rsid w:val="0031568C"/>
    <w:rsid w:val="00325C47"/>
    <w:rsid w:val="0032658E"/>
    <w:rsid w:val="003335AD"/>
    <w:rsid w:val="0033546C"/>
    <w:rsid w:val="003549C0"/>
    <w:rsid w:val="0036033C"/>
    <w:rsid w:val="00370FFC"/>
    <w:rsid w:val="00386531"/>
    <w:rsid w:val="003935F9"/>
    <w:rsid w:val="003A11A3"/>
    <w:rsid w:val="003A32AB"/>
    <w:rsid w:val="003A438D"/>
    <w:rsid w:val="003B0E9F"/>
    <w:rsid w:val="003D3701"/>
    <w:rsid w:val="003F1929"/>
    <w:rsid w:val="003F1EA2"/>
    <w:rsid w:val="003F5306"/>
    <w:rsid w:val="0040127B"/>
    <w:rsid w:val="00405D04"/>
    <w:rsid w:val="00406B4A"/>
    <w:rsid w:val="004113A6"/>
    <w:rsid w:val="004345AB"/>
    <w:rsid w:val="004530CE"/>
    <w:rsid w:val="0045572F"/>
    <w:rsid w:val="00481389"/>
    <w:rsid w:val="00493D10"/>
    <w:rsid w:val="004972F8"/>
    <w:rsid w:val="004B53BD"/>
    <w:rsid w:val="004B635B"/>
    <w:rsid w:val="004C4ECA"/>
    <w:rsid w:val="004D71BB"/>
    <w:rsid w:val="004E5B1E"/>
    <w:rsid w:val="004F211A"/>
    <w:rsid w:val="004F2E8B"/>
    <w:rsid w:val="00503F96"/>
    <w:rsid w:val="0051286C"/>
    <w:rsid w:val="0051353E"/>
    <w:rsid w:val="00542A98"/>
    <w:rsid w:val="00544472"/>
    <w:rsid w:val="00553096"/>
    <w:rsid w:val="00553397"/>
    <w:rsid w:val="00555422"/>
    <w:rsid w:val="0055707C"/>
    <w:rsid w:val="00562DE3"/>
    <w:rsid w:val="0057365B"/>
    <w:rsid w:val="0057541B"/>
    <w:rsid w:val="005771D4"/>
    <w:rsid w:val="00581E2F"/>
    <w:rsid w:val="0058795F"/>
    <w:rsid w:val="005A0B4B"/>
    <w:rsid w:val="005A3C0C"/>
    <w:rsid w:val="005B61D2"/>
    <w:rsid w:val="005C013E"/>
    <w:rsid w:val="005C778C"/>
    <w:rsid w:val="005C7C86"/>
    <w:rsid w:val="005D052F"/>
    <w:rsid w:val="005D7C06"/>
    <w:rsid w:val="005E2604"/>
    <w:rsid w:val="005E4BB5"/>
    <w:rsid w:val="005F1762"/>
    <w:rsid w:val="00613E8E"/>
    <w:rsid w:val="00615FD4"/>
    <w:rsid w:val="006236F1"/>
    <w:rsid w:val="00641C53"/>
    <w:rsid w:val="00652911"/>
    <w:rsid w:val="006543EB"/>
    <w:rsid w:val="0065506B"/>
    <w:rsid w:val="00660435"/>
    <w:rsid w:val="00673081"/>
    <w:rsid w:val="00673635"/>
    <w:rsid w:val="00677BA8"/>
    <w:rsid w:val="006A18BF"/>
    <w:rsid w:val="006A4E21"/>
    <w:rsid w:val="006A625E"/>
    <w:rsid w:val="006A6BBD"/>
    <w:rsid w:val="006A7604"/>
    <w:rsid w:val="006C26D6"/>
    <w:rsid w:val="006C503B"/>
    <w:rsid w:val="006F3FFF"/>
    <w:rsid w:val="00710C3F"/>
    <w:rsid w:val="00723622"/>
    <w:rsid w:val="00744AEF"/>
    <w:rsid w:val="00751937"/>
    <w:rsid w:val="0075662A"/>
    <w:rsid w:val="0077136E"/>
    <w:rsid w:val="0078791F"/>
    <w:rsid w:val="007B3352"/>
    <w:rsid w:val="007C7CAD"/>
    <w:rsid w:val="007E2251"/>
    <w:rsid w:val="007E53A1"/>
    <w:rsid w:val="00803BC2"/>
    <w:rsid w:val="00806611"/>
    <w:rsid w:val="00806989"/>
    <w:rsid w:val="00811147"/>
    <w:rsid w:val="00821BFC"/>
    <w:rsid w:val="008221D7"/>
    <w:rsid w:val="00835755"/>
    <w:rsid w:val="0085333E"/>
    <w:rsid w:val="0085666F"/>
    <w:rsid w:val="008602CB"/>
    <w:rsid w:val="00873765"/>
    <w:rsid w:val="00875BB5"/>
    <w:rsid w:val="0087754A"/>
    <w:rsid w:val="008815E3"/>
    <w:rsid w:val="0089139F"/>
    <w:rsid w:val="008B7422"/>
    <w:rsid w:val="008C18E2"/>
    <w:rsid w:val="008C3E1D"/>
    <w:rsid w:val="008C789D"/>
    <w:rsid w:val="008D204C"/>
    <w:rsid w:val="008D57F4"/>
    <w:rsid w:val="008E1F5A"/>
    <w:rsid w:val="008F4FCB"/>
    <w:rsid w:val="008F5ABF"/>
    <w:rsid w:val="008F5FF7"/>
    <w:rsid w:val="00930287"/>
    <w:rsid w:val="0094379F"/>
    <w:rsid w:val="00944D89"/>
    <w:rsid w:val="0096349B"/>
    <w:rsid w:val="00972F5F"/>
    <w:rsid w:val="00974FEA"/>
    <w:rsid w:val="00990CF7"/>
    <w:rsid w:val="00997D19"/>
    <w:rsid w:val="009B5910"/>
    <w:rsid w:val="009B6CF2"/>
    <w:rsid w:val="009C17E4"/>
    <w:rsid w:val="009C2AFC"/>
    <w:rsid w:val="009C5496"/>
    <w:rsid w:val="009E0090"/>
    <w:rsid w:val="009E1E5D"/>
    <w:rsid w:val="009F1A76"/>
    <w:rsid w:val="009F3CE4"/>
    <w:rsid w:val="00A00ADE"/>
    <w:rsid w:val="00A07E8C"/>
    <w:rsid w:val="00A147EF"/>
    <w:rsid w:val="00A253F7"/>
    <w:rsid w:val="00A33ED0"/>
    <w:rsid w:val="00A378F7"/>
    <w:rsid w:val="00A43179"/>
    <w:rsid w:val="00A4378C"/>
    <w:rsid w:val="00A55514"/>
    <w:rsid w:val="00A55CF9"/>
    <w:rsid w:val="00A62BBF"/>
    <w:rsid w:val="00A651FF"/>
    <w:rsid w:val="00A65DD9"/>
    <w:rsid w:val="00A7089C"/>
    <w:rsid w:val="00A82130"/>
    <w:rsid w:val="00A857D3"/>
    <w:rsid w:val="00AC0D9A"/>
    <w:rsid w:val="00AC19DD"/>
    <w:rsid w:val="00AC4C10"/>
    <w:rsid w:val="00AD13AC"/>
    <w:rsid w:val="00AD5C98"/>
    <w:rsid w:val="00AE3239"/>
    <w:rsid w:val="00AF2F73"/>
    <w:rsid w:val="00AF2FA0"/>
    <w:rsid w:val="00AF3987"/>
    <w:rsid w:val="00AF4047"/>
    <w:rsid w:val="00B073D8"/>
    <w:rsid w:val="00B14191"/>
    <w:rsid w:val="00B27F4F"/>
    <w:rsid w:val="00B37612"/>
    <w:rsid w:val="00B40BE2"/>
    <w:rsid w:val="00B44A81"/>
    <w:rsid w:val="00B51C8F"/>
    <w:rsid w:val="00B71282"/>
    <w:rsid w:val="00B75B6A"/>
    <w:rsid w:val="00B846D9"/>
    <w:rsid w:val="00B86A54"/>
    <w:rsid w:val="00B9408A"/>
    <w:rsid w:val="00BA477E"/>
    <w:rsid w:val="00BA48EC"/>
    <w:rsid w:val="00BA7E61"/>
    <w:rsid w:val="00BB016F"/>
    <w:rsid w:val="00BB57A9"/>
    <w:rsid w:val="00BB7663"/>
    <w:rsid w:val="00BC2309"/>
    <w:rsid w:val="00BD0D1B"/>
    <w:rsid w:val="00BE4C53"/>
    <w:rsid w:val="00BE7B99"/>
    <w:rsid w:val="00BF24C2"/>
    <w:rsid w:val="00BF270F"/>
    <w:rsid w:val="00BF5F57"/>
    <w:rsid w:val="00C20B9D"/>
    <w:rsid w:val="00C25CF9"/>
    <w:rsid w:val="00C30039"/>
    <w:rsid w:val="00C415BE"/>
    <w:rsid w:val="00C41977"/>
    <w:rsid w:val="00C56F61"/>
    <w:rsid w:val="00C626D4"/>
    <w:rsid w:val="00C764BF"/>
    <w:rsid w:val="00C82F42"/>
    <w:rsid w:val="00CA3DF8"/>
    <w:rsid w:val="00CA6522"/>
    <w:rsid w:val="00CA7222"/>
    <w:rsid w:val="00CA7F37"/>
    <w:rsid w:val="00CB63D1"/>
    <w:rsid w:val="00CB7AB3"/>
    <w:rsid w:val="00CB7BAD"/>
    <w:rsid w:val="00CC55DC"/>
    <w:rsid w:val="00CD3BC8"/>
    <w:rsid w:val="00CE7EFD"/>
    <w:rsid w:val="00D02D97"/>
    <w:rsid w:val="00D06DBF"/>
    <w:rsid w:val="00D07E00"/>
    <w:rsid w:val="00D3773C"/>
    <w:rsid w:val="00D44FF9"/>
    <w:rsid w:val="00D4600F"/>
    <w:rsid w:val="00D52EAD"/>
    <w:rsid w:val="00D735D9"/>
    <w:rsid w:val="00D77F0C"/>
    <w:rsid w:val="00D82225"/>
    <w:rsid w:val="00D84625"/>
    <w:rsid w:val="00D849B5"/>
    <w:rsid w:val="00D87082"/>
    <w:rsid w:val="00D92799"/>
    <w:rsid w:val="00DA074C"/>
    <w:rsid w:val="00DA54E7"/>
    <w:rsid w:val="00DA752D"/>
    <w:rsid w:val="00DB4119"/>
    <w:rsid w:val="00DC7E8F"/>
    <w:rsid w:val="00DD2DBD"/>
    <w:rsid w:val="00DE34A1"/>
    <w:rsid w:val="00DE69F5"/>
    <w:rsid w:val="00E02B35"/>
    <w:rsid w:val="00E0671F"/>
    <w:rsid w:val="00E21DF0"/>
    <w:rsid w:val="00E24EE1"/>
    <w:rsid w:val="00E26644"/>
    <w:rsid w:val="00E44CEE"/>
    <w:rsid w:val="00E604A3"/>
    <w:rsid w:val="00E625C7"/>
    <w:rsid w:val="00E7172D"/>
    <w:rsid w:val="00E90E83"/>
    <w:rsid w:val="00E92001"/>
    <w:rsid w:val="00EA7D3C"/>
    <w:rsid w:val="00EB1B7E"/>
    <w:rsid w:val="00EB4DCE"/>
    <w:rsid w:val="00EB69DE"/>
    <w:rsid w:val="00EC0391"/>
    <w:rsid w:val="00EC2388"/>
    <w:rsid w:val="00ED1A2D"/>
    <w:rsid w:val="00ED1D2F"/>
    <w:rsid w:val="00ED2128"/>
    <w:rsid w:val="00EF15D4"/>
    <w:rsid w:val="00EF1843"/>
    <w:rsid w:val="00EF2560"/>
    <w:rsid w:val="00F2215C"/>
    <w:rsid w:val="00F230A7"/>
    <w:rsid w:val="00F24E06"/>
    <w:rsid w:val="00F32952"/>
    <w:rsid w:val="00F3472D"/>
    <w:rsid w:val="00F41BFF"/>
    <w:rsid w:val="00F46AC9"/>
    <w:rsid w:val="00F54307"/>
    <w:rsid w:val="00F56AD0"/>
    <w:rsid w:val="00F6120C"/>
    <w:rsid w:val="00F627CE"/>
    <w:rsid w:val="00F805E1"/>
    <w:rsid w:val="00FA016C"/>
    <w:rsid w:val="00FA373D"/>
    <w:rsid w:val="00FC1238"/>
    <w:rsid w:val="00FC6303"/>
    <w:rsid w:val="00FC6A57"/>
    <w:rsid w:val="00FE11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00F6E"/>
  <w15:docId w15:val="{7F2035CC-BF50-4D36-950C-026AAE7EF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es-ES_tradnl"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34" w:qFormat="1"/>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86F"/>
  </w:style>
  <w:style w:type="paragraph" w:styleId="Ttulo1">
    <w:name w:val="heading 1"/>
    <w:basedOn w:val="Normal"/>
    <w:next w:val="Normal"/>
    <w:link w:val="Ttulo1Car"/>
    <w:uiPriority w:val="9"/>
    <w:qFormat/>
    <w:rsid w:val="0036635E"/>
    <w:pPr>
      <w:keepNext/>
      <w:spacing w:before="240" w:after="60"/>
      <w:outlineLvl w:val="0"/>
    </w:pPr>
    <w:rPr>
      <w:rFonts w:ascii="Calibri Light" w:eastAsia="Times New Roman" w:hAnsi="Calibri Light"/>
      <w:b/>
      <w:bCs/>
      <w:kern w:val="32"/>
      <w:sz w:val="32"/>
      <w:szCs w:val="32"/>
    </w:rPr>
  </w:style>
  <w:style w:type="paragraph" w:styleId="Ttulo2">
    <w:name w:val="heading 2"/>
    <w:basedOn w:val="Normal"/>
    <w:next w:val="Normal"/>
    <w:link w:val="Ttulo2Car"/>
    <w:uiPriority w:val="9"/>
    <w:unhideWhenUsed/>
    <w:qFormat/>
    <w:rsid w:val="0036635E"/>
    <w:pPr>
      <w:keepNext/>
      <w:spacing w:before="240" w:after="60"/>
      <w:outlineLvl w:val="1"/>
    </w:pPr>
    <w:rPr>
      <w:rFonts w:ascii="Calibri Light" w:eastAsia="Times New Roman" w:hAnsi="Calibri Light"/>
      <w:b/>
      <w:bCs/>
      <w:i/>
      <w:iCs/>
      <w:sz w:val="28"/>
      <w:szCs w:val="28"/>
    </w:rPr>
  </w:style>
  <w:style w:type="paragraph" w:styleId="Ttulo3">
    <w:name w:val="heading 3"/>
    <w:basedOn w:val="Normal"/>
    <w:next w:val="Normal"/>
    <w:link w:val="Ttulo3Car"/>
    <w:uiPriority w:val="9"/>
    <w:unhideWhenUsed/>
    <w:qFormat/>
    <w:rsid w:val="002F474B"/>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unhideWhenUsed/>
    <w:qFormat/>
    <w:rsid w:val="0036635E"/>
    <w:pPr>
      <w:keepNext/>
      <w:spacing w:before="240" w:after="60"/>
      <w:outlineLvl w:val="3"/>
    </w:pPr>
    <w:rPr>
      <w:rFonts w:ascii="Calibri" w:eastAsia="Times New Roman" w:hAnsi="Calibri"/>
      <w:b/>
      <w:bCs/>
      <w:sz w:val="28"/>
      <w:szCs w:val="28"/>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Textodeglobo">
    <w:name w:val="Balloon Text"/>
    <w:basedOn w:val="Normal"/>
    <w:link w:val="TextodegloboCar"/>
    <w:uiPriority w:val="99"/>
    <w:semiHidden/>
    <w:unhideWhenUsed/>
    <w:rsid w:val="00722229"/>
    <w:rPr>
      <w:rFonts w:ascii="Lucida Grande" w:hAnsi="Lucida Grande"/>
      <w:sz w:val="18"/>
      <w:szCs w:val="18"/>
    </w:rPr>
  </w:style>
  <w:style w:type="character" w:customStyle="1" w:styleId="TextodegloboCar">
    <w:name w:val="Texto de globo Car"/>
    <w:link w:val="Textodeglobo"/>
    <w:uiPriority w:val="99"/>
    <w:semiHidden/>
    <w:rsid w:val="00722229"/>
    <w:rPr>
      <w:rFonts w:ascii="Lucida Grande" w:hAnsi="Lucida Grande"/>
      <w:sz w:val="18"/>
      <w:szCs w:val="18"/>
    </w:rPr>
  </w:style>
  <w:style w:type="paragraph" w:styleId="Encabezado">
    <w:name w:val="header"/>
    <w:basedOn w:val="Normal"/>
    <w:link w:val="EncabezadoCar"/>
    <w:uiPriority w:val="99"/>
    <w:unhideWhenUsed/>
    <w:rsid w:val="00722229"/>
    <w:pPr>
      <w:tabs>
        <w:tab w:val="center" w:pos="4252"/>
        <w:tab w:val="right" w:pos="8504"/>
      </w:tabs>
    </w:pPr>
  </w:style>
  <w:style w:type="character" w:customStyle="1" w:styleId="EncabezadoCar">
    <w:name w:val="Encabezado Car"/>
    <w:basedOn w:val="Fuentedeprrafopredeter"/>
    <w:link w:val="Encabezado"/>
    <w:uiPriority w:val="99"/>
    <w:rsid w:val="00722229"/>
  </w:style>
  <w:style w:type="paragraph" w:styleId="Piedepgina">
    <w:name w:val="footer"/>
    <w:basedOn w:val="Normal"/>
    <w:link w:val="PiedepginaCar"/>
    <w:uiPriority w:val="99"/>
    <w:unhideWhenUsed/>
    <w:rsid w:val="00722229"/>
    <w:pPr>
      <w:tabs>
        <w:tab w:val="center" w:pos="4252"/>
        <w:tab w:val="right" w:pos="8504"/>
      </w:tabs>
    </w:pPr>
  </w:style>
  <w:style w:type="character" w:customStyle="1" w:styleId="PiedepginaCar">
    <w:name w:val="Pie de página Car"/>
    <w:basedOn w:val="Fuentedeprrafopredeter"/>
    <w:link w:val="Piedepgina"/>
    <w:uiPriority w:val="99"/>
    <w:rsid w:val="00722229"/>
  </w:style>
  <w:style w:type="paragraph" w:customStyle="1" w:styleId="m91763113346106596m7313138160496177183gmail-msoheader">
    <w:name w:val="m_91763113346106596m_7313138160496177183gmail-msoheader"/>
    <w:basedOn w:val="Normal"/>
    <w:rsid w:val="0071222D"/>
    <w:pPr>
      <w:spacing w:before="100" w:beforeAutospacing="1" w:after="100" w:afterAutospacing="1"/>
    </w:pPr>
    <w:rPr>
      <w:rFonts w:ascii="Times" w:hAnsi="Times"/>
      <w:sz w:val="20"/>
      <w:szCs w:val="20"/>
    </w:rPr>
  </w:style>
  <w:style w:type="paragraph" w:customStyle="1" w:styleId="Prrafobsico">
    <w:name w:val="[Párrafo básico]"/>
    <w:basedOn w:val="Normal"/>
    <w:uiPriority w:val="99"/>
    <w:rsid w:val="00C77F77"/>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Ninguno">
    <w:name w:val="Ninguno"/>
    <w:rsid w:val="00647663"/>
    <w:rPr>
      <w:lang w:val="es-ES_tradnl"/>
    </w:rPr>
  </w:style>
  <w:style w:type="paragraph" w:customStyle="1" w:styleId="CuerpoA">
    <w:name w:val="Cuerpo A"/>
    <w:rsid w:val="00647663"/>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Prrafodelista">
    <w:name w:val="List Paragraph"/>
    <w:aliases w:val="lp1,List Paragraph1,4 Párrafo de lista,Figuras,Dot pt,No Spacing1,List Paragraph Char Char Char,Indicator Text,Numbered Para 1,DH1,Listas,Light Grid - Accent 31,Párrafo Título 3"/>
    <w:basedOn w:val="Normal"/>
    <w:link w:val="PrrafodelistaCar"/>
    <w:uiPriority w:val="34"/>
    <w:qFormat/>
    <w:rsid w:val="00EC481C"/>
    <w:pPr>
      <w:ind w:left="708"/>
    </w:pPr>
  </w:style>
  <w:style w:type="table" w:styleId="Tablaconcuadrcula">
    <w:name w:val="Table Grid"/>
    <w:basedOn w:val="Tablanormal"/>
    <w:uiPriority w:val="59"/>
    <w:rsid w:val="00161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52C9"/>
    <w:pPr>
      <w:autoSpaceDE w:val="0"/>
      <w:autoSpaceDN w:val="0"/>
      <w:adjustRightInd w:val="0"/>
    </w:pPr>
    <w:rPr>
      <w:rFonts w:ascii="Montserrat" w:hAnsi="Montserrat" w:cs="Montserrat"/>
      <w:color w:val="000000"/>
    </w:rPr>
  </w:style>
  <w:style w:type="character" w:styleId="Hipervnculo">
    <w:name w:val="Hyperlink"/>
    <w:uiPriority w:val="99"/>
    <w:unhideWhenUsed/>
    <w:rsid w:val="00EF2779"/>
    <w:rPr>
      <w:color w:val="0563C1"/>
      <w:u w:val="single"/>
    </w:rPr>
  </w:style>
  <w:style w:type="character" w:styleId="Refdecomentario">
    <w:name w:val="annotation reference"/>
    <w:uiPriority w:val="99"/>
    <w:semiHidden/>
    <w:unhideWhenUsed/>
    <w:rsid w:val="002F474B"/>
    <w:rPr>
      <w:sz w:val="18"/>
      <w:szCs w:val="18"/>
    </w:rPr>
  </w:style>
  <w:style w:type="paragraph" w:styleId="Textocomentario">
    <w:name w:val="annotation text"/>
    <w:basedOn w:val="Normal"/>
    <w:link w:val="TextocomentarioCar"/>
    <w:uiPriority w:val="99"/>
    <w:unhideWhenUsed/>
    <w:rsid w:val="002F474B"/>
  </w:style>
  <w:style w:type="character" w:customStyle="1" w:styleId="TextocomentarioCar">
    <w:name w:val="Texto comentario Car"/>
    <w:link w:val="Textocomentario"/>
    <w:uiPriority w:val="99"/>
    <w:rsid w:val="002F474B"/>
    <w:rPr>
      <w:sz w:val="24"/>
      <w:szCs w:val="24"/>
      <w:lang w:val="es-ES_tradnl" w:eastAsia="es-ES"/>
    </w:rPr>
  </w:style>
  <w:style w:type="paragraph" w:styleId="NormalWeb">
    <w:name w:val="Normal (Web)"/>
    <w:basedOn w:val="Normal"/>
    <w:uiPriority w:val="99"/>
    <w:unhideWhenUsed/>
    <w:rsid w:val="002F474B"/>
    <w:rPr>
      <w:rFonts w:ascii="Times New Roman" w:hAnsi="Times New Roman"/>
    </w:rPr>
  </w:style>
  <w:style w:type="table" w:customStyle="1" w:styleId="Tabladecuadrcula4-nfasis51">
    <w:name w:val="Tabla de cuadrícula 4 - Énfasis 51"/>
    <w:basedOn w:val="Tablanormal"/>
    <w:uiPriority w:val="49"/>
    <w:rsid w:val="002F474B"/>
    <w:rPr>
      <w:sz w:val="22"/>
      <w:szCs w:val="22"/>
      <w:lang w:eastAsia="en-US"/>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Estilo3">
    <w:name w:val="Estilo3"/>
    <w:basedOn w:val="Ttulo3"/>
    <w:link w:val="Estilo3Car"/>
    <w:qFormat/>
    <w:rsid w:val="002F474B"/>
    <w:pPr>
      <w:keepLines/>
      <w:spacing w:before="40" w:after="0" w:line="259" w:lineRule="auto"/>
    </w:pPr>
    <w:rPr>
      <w:rFonts w:ascii="Montserrat Medium" w:hAnsi="Montserrat Medium"/>
      <w:b w:val="0"/>
      <w:bCs w:val="0"/>
      <w:color w:val="243F60"/>
      <w:sz w:val="24"/>
      <w:szCs w:val="24"/>
      <w:lang w:val="es-MX" w:eastAsia="en-US"/>
    </w:rPr>
  </w:style>
  <w:style w:type="character" w:customStyle="1" w:styleId="Estilo3Car">
    <w:name w:val="Estilo3 Car"/>
    <w:link w:val="Estilo3"/>
    <w:rsid w:val="002F474B"/>
    <w:rPr>
      <w:rFonts w:ascii="Montserrat Medium" w:eastAsia="Times New Roman" w:hAnsi="Montserrat Medium" w:cs="Times New Roman"/>
      <w:color w:val="243F60"/>
      <w:sz w:val="24"/>
      <w:szCs w:val="24"/>
      <w:lang w:eastAsia="en-US"/>
    </w:rPr>
  </w:style>
  <w:style w:type="table" w:customStyle="1" w:styleId="Tabladecuadrcula4-nfasis21">
    <w:name w:val="Tabla de cuadrícula 4 - Énfasis 21"/>
    <w:basedOn w:val="Tablanormal"/>
    <w:uiPriority w:val="49"/>
    <w:rsid w:val="002F474B"/>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character" w:customStyle="1" w:styleId="PrrafodelistaCar">
    <w:name w:val="Párrafo de lista Car"/>
    <w:aliases w:val="lp1 Car,List Paragraph1 Car,4 Párrafo de lista Car,Figuras Car,Dot pt Car,No Spacing1 Car,List Paragraph Char Char Char Car,Indicator Text Car,Numbered Para 1 Car,DH1 Car,Listas Car,Light Grid - Accent 31 Car,Párrafo Título 3 Car"/>
    <w:link w:val="Prrafodelista"/>
    <w:uiPriority w:val="34"/>
    <w:rsid w:val="002F474B"/>
    <w:rPr>
      <w:sz w:val="24"/>
      <w:szCs w:val="24"/>
      <w:lang w:val="es-ES_tradnl" w:eastAsia="es-ES"/>
    </w:rPr>
  </w:style>
  <w:style w:type="character" w:customStyle="1" w:styleId="Ttulo3Car">
    <w:name w:val="Título 3 Car"/>
    <w:link w:val="Ttulo3"/>
    <w:uiPriority w:val="9"/>
    <w:rsid w:val="002F474B"/>
    <w:rPr>
      <w:rFonts w:ascii="Calibri Light" w:eastAsia="Times New Roman" w:hAnsi="Calibri Light" w:cs="Times New Roman"/>
      <w:b/>
      <w:bCs/>
      <w:sz w:val="26"/>
      <w:szCs w:val="26"/>
      <w:lang w:val="es-ES_tradnl" w:eastAsia="es-ES"/>
    </w:rPr>
  </w:style>
  <w:style w:type="character" w:customStyle="1" w:styleId="Ttulo1Car">
    <w:name w:val="Título 1 Car"/>
    <w:link w:val="Ttulo1"/>
    <w:uiPriority w:val="9"/>
    <w:rsid w:val="0036635E"/>
    <w:rPr>
      <w:rFonts w:ascii="Calibri Light" w:eastAsia="Times New Roman" w:hAnsi="Calibri Light" w:cs="Times New Roman"/>
      <w:b/>
      <w:bCs/>
      <w:kern w:val="32"/>
      <w:sz w:val="32"/>
      <w:szCs w:val="32"/>
      <w:lang w:val="es-ES_tradnl" w:eastAsia="es-ES"/>
    </w:rPr>
  </w:style>
  <w:style w:type="character" w:customStyle="1" w:styleId="Ttulo2Car">
    <w:name w:val="Título 2 Car"/>
    <w:link w:val="Ttulo2"/>
    <w:uiPriority w:val="9"/>
    <w:rsid w:val="0036635E"/>
    <w:rPr>
      <w:rFonts w:ascii="Calibri Light" w:eastAsia="Times New Roman" w:hAnsi="Calibri Light" w:cs="Times New Roman"/>
      <w:b/>
      <w:bCs/>
      <w:i/>
      <w:iCs/>
      <w:sz w:val="28"/>
      <w:szCs w:val="28"/>
      <w:lang w:val="es-ES_tradnl" w:eastAsia="es-ES"/>
    </w:rPr>
  </w:style>
  <w:style w:type="character" w:customStyle="1" w:styleId="Ttulo4Car">
    <w:name w:val="Título 4 Car"/>
    <w:link w:val="Ttulo4"/>
    <w:uiPriority w:val="9"/>
    <w:rsid w:val="0036635E"/>
    <w:rPr>
      <w:rFonts w:ascii="Calibri" w:eastAsia="Times New Roman" w:hAnsi="Calibri" w:cs="Times New Roman"/>
      <w:b/>
      <w:bCs/>
      <w:sz w:val="28"/>
      <w:szCs w:val="28"/>
      <w:lang w:val="es-ES_tradnl" w:eastAsia="es-ES"/>
    </w:rPr>
  </w:style>
  <w:style w:type="paragraph" w:styleId="TtuloTDC">
    <w:name w:val="TOC Heading"/>
    <w:basedOn w:val="Ttulo1"/>
    <w:next w:val="Normal"/>
    <w:uiPriority w:val="39"/>
    <w:unhideWhenUsed/>
    <w:qFormat/>
    <w:rsid w:val="0036635E"/>
    <w:pPr>
      <w:keepLines/>
      <w:spacing w:after="0" w:line="259" w:lineRule="auto"/>
      <w:outlineLvl w:val="9"/>
    </w:pPr>
    <w:rPr>
      <w:b w:val="0"/>
      <w:bCs w:val="0"/>
      <w:color w:val="2E74B5"/>
      <w:kern w:val="0"/>
      <w:lang w:val="es-MX"/>
    </w:rPr>
  </w:style>
  <w:style w:type="paragraph" w:styleId="TDC1">
    <w:name w:val="toc 1"/>
    <w:basedOn w:val="Normal"/>
    <w:next w:val="Normal"/>
    <w:autoRedefine/>
    <w:uiPriority w:val="39"/>
    <w:unhideWhenUsed/>
    <w:rsid w:val="0036635E"/>
    <w:pPr>
      <w:tabs>
        <w:tab w:val="right" w:leader="dot" w:pos="10055"/>
      </w:tabs>
    </w:pPr>
    <w:rPr>
      <w:b/>
      <w:noProof/>
    </w:rPr>
  </w:style>
  <w:style w:type="paragraph" w:styleId="TDC2">
    <w:name w:val="toc 2"/>
    <w:basedOn w:val="Normal"/>
    <w:next w:val="Normal"/>
    <w:autoRedefine/>
    <w:uiPriority w:val="39"/>
    <w:unhideWhenUsed/>
    <w:rsid w:val="0036635E"/>
    <w:pPr>
      <w:tabs>
        <w:tab w:val="right" w:leader="dot" w:pos="10055"/>
      </w:tabs>
      <w:ind w:left="240"/>
    </w:pPr>
    <w:rPr>
      <w:b/>
      <w:noProof/>
    </w:rPr>
  </w:style>
  <w:style w:type="paragraph" w:styleId="TDC3">
    <w:name w:val="toc 3"/>
    <w:basedOn w:val="Normal"/>
    <w:next w:val="Normal"/>
    <w:autoRedefine/>
    <w:uiPriority w:val="39"/>
    <w:unhideWhenUsed/>
    <w:rsid w:val="0036635E"/>
    <w:pPr>
      <w:tabs>
        <w:tab w:val="right" w:leader="dot" w:pos="10055"/>
      </w:tabs>
      <w:ind w:left="480"/>
    </w:pPr>
    <w:rPr>
      <w:b/>
      <w:noProof/>
    </w:rPr>
  </w:style>
  <w:style w:type="table" w:styleId="Listavistosa">
    <w:name w:val="Colorful List"/>
    <w:basedOn w:val="Tablanormal"/>
    <w:uiPriority w:val="34"/>
    <w:qFormat/>
    <w:rsid w:val="002F3348"/>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styleId="Asuntodelcomentario">
    <w:name w:val="annotation subject"/>
    <w:basedOn w:val="Textocomentario"/>
    <w:next w:val="Textocomentario"/>
    <w:link w:val="AsuntodelcomentarioCar"/>
    <w:uiPriority w:val="99"/>
    <w:semiHidden/>
    <w:unhideWhenUsed/>
    <w:rsid w:val="00B81B3D"/>
    <w:rPr>
      <w:b/>
      <w:bCs/>
      <w:sz w:val="20"/>
      <w:szCs w:val="20"/>
    </w:rPr>
  </w:style>
  <w:style w:type="character" w:customStyle="1" w:styleId="AsuntodelcomentarioCar">
    <w:name w:val="Asunto del comentario Car"/>
    <w:basedOn w:val="TextocomentarioCar"/>
    <w:link w:val="Asuntodelcomentario"/>
    <w:uiPriority w:val="99"/>
    <w:semiHidden/>
    <w:rsid w:val="00B81B3D"/>
    <w:rPr>
      <w:b/>
      <w:bCs/>
      <w:sz w:val="24"/>
      <w:szCs w:val="24"/>
      <w:lang w:val="es-ES_tradnl" w:eastAsia="es-ES"/>
    </w:rPr>
  </w:style>
  <w:style w:type="paragraph" w:styleId="Textonotapie">
    <w:name w:val="footnote text"/>
    <w:basedOn w:val="Normal"/>
    <w:link w:val="TextonotapieCar"/>
    <w:uiPriority w:val="99"/>
    <w:unhideWhenUsed/>
    <w:rsid w:val="009E5F4B"/>
    <w:rPr>
      <w:sz w:val="20"/>
      <w:szCs w:val="20"/>
    </w:rPr>
  </w:style>
  <w:style w:type="character" w:customStyle="1" w:styleId="TextonotapieCar">
    <w:name w:val="Texto nota pie Car"/>
    <w:basedOn w:val="Fuentedeprrafopredeter"/>
    <w:link w:val="Textonotapie"/>
    <w:uiPriority w:val="99"/>
    <w:rsid w:val="009E5F4B"/>
    <w:rPr>
      <w:lang w:val="es-ES_tradnl"/>
    </w:rPr>
  </w:style>
  <w:style w:type="paragraph" w:styleId="Textonotaalfinal">
    <w:name w:val="endnote text"/>
    <w:basedOn w:val="Normal"/>
    <w:link w:val="TextonotaalfinalCar"/>
    <w:autoRedefine/>
    <w:unhideWhenUsed/>
    <w:rsid w:val="002877DA"/>
    <w:pPr>
      <w:jc w:val="both"/>
    </w:pPr>
    <w:rPr>
      <w:rFonts w:ascii="Montserrat" w:eastAsia="Times New Roman" w:hAnsi="Montserrat"/>
      <w:bCs/>
      <w:color w:val="000000" w:themeColor="text1"/>
      <w:sz w:val="16"/>
      <w:szCs w:val="18"/>
      <w:bdr w:val="none" w:sz="0" w:space="0" w:color="auto" w:frame="1"/>
      <w:shd w:val="clear" w:color="auto" w:fill="FFFFFF"/>
      <w:lang w:val="en-US"/>
    </w:rPr>
  </w:style>
  <w:style w:type="character" w:customStyle="1" w:styleId="TextonotaalfinalCar">
    <w:name w:val="Texto nota al final Car"/>
    <w:basedOn w:val="Fuentedeprrafopredeter"/>
    <w:link w:val="Textonotaalfinal"/>
    <w:rsid w:val="002877DA"/>
    <w:rPr>
      <w:rFonts w:ascii="Montserrat" w:eastAsia="Times New Roman" w:hAnsi="Montserrat"/>
      <w:bCs/>
      <w:color w:val="000000" w:themeColor="text1"/>
      <w:sz w:val="16"/>
      <w:szCs w:val="18"/>
      <w:bdr w:val="none" w:sz="0" w:space="0" w:color="auto" w:frame="1"/>
      <w:lang w:val="en-US"/>
    </w:rPr>
  </w:style>
  <w:style w:type="character" w:styleId="Refdenotaalfinal">
    <w:name w:val="endnote reference"/>
    <w:basedOn w:val="Fuentedeprrafopredeter"/>
    <w:unhideWhenUsed/>
    <w:rsid w:val="001A3E17"/>
    <w:rPr>
      <w:vertAlign w:val="superscript"/>
    </w:rPr>
  </w:style>
  <w:style w:type="character" w:customStyle="1" w:styleId="UnresolvedMention">
    <w:name w:val="Unresolved Mention"/>
    <w:basedOn w:val="Fuentedeprrafopredeter"/>
    <w:uiPriority w:val="99"/>
    <w:semiHidden/>
    <w:unhideWhenUsed/>
    <w:rsid w:val="001C60FC"/>
    <w:rPr>
      <w:color w:val="605E5C"/>
      <w:shd w:val="clear" w:color="auto" w:fill="E1DFDD"/>
    </w:rPr>
  </w:style>
  <w:style w:type="paragraph" w:styleId="Revisin">
    <w:name w:val="Revision"/>
    <w:hidden/>
    <w:uiPriority w:val="99"/>
    <w:semiHidden/>
    <w:rsid w:val="00070B47"/>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character" w:customStyle="1" w:styleId="notranslate">
    <w:name w:val="notranslate"/>
    <w:basedOn w:val="Fuentedeprrafopredeter"/>
    <w:rsid w:val="00B27F4F"/>
  </w:style>
  <w:style w:type="paragraph" w:customStyle="1" w:styleId="Cuadrculamediana21">
    <w:name w:val="Cuadrícula mediana 21"/>
    <w:uiPriority w:val="1"/>
    <w:qFormat/>
    <w:rsid w:val="00E92001"/>
    <w:rPr>
      <w:rFonts w:ascii="Times New Roman" w:eastAsia="Times New Roman" w:hAnsi="Times New Roman" w:cs="Times New Roman"/>
      <w:lang w:val="es-ES" w:eastAsia="es-ES"/>
    </w:rPr>
  </w:style>
  <w:style w:type="character" w:customStyle="1" w:styleId="uv3um">
    <w:name w:val="uv3um"/>
    <w:basedOn w:val="Fuentedeprrafopredeter"/>
    <w:rsid w:val="009C2AFC"/>
  </w:style>
  <w:style w:type="character" w:styleId="Textoennegrita">
    <w:name w:val="Strong"/>
    <w:basedOn w:val="Fuentedeprrafopredeter"/>
    <w:uiPriority w:val="22"/>
    <w:qFormat/>
    <w:rsid w:val="00C415BE"/>
    <w:rPr>
      <w:b/>
      <w:bCs/>
    </w:rPr>
  </w:style>
  <w:style w:type="table" w:styleId="Tabladecuadrcula3">
    <w:name w:val="Grid Table 3"/>
    <w:basedOn w:val="Tablanormal"/>
    <w:uiPriority w:val="48"/>
    <w:rsid w:val="005771D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ladecuadrcula31">
    <w:name w:val="Tabla de cuadrícula 31"/>
    <w:basedOn w:val="Tablanormal"/>
    <w:next w:val="Tabladecuadrcula3"/>
    <w:uiPriority w:val="48"/>
    <w:rsid w:val="00A85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ladecuadrcula4-nfasis211">
    <w:name w:val="Tabla de cuadrícula 4 - Énfasis 211"/>
    <w:basedOn w:val="Tablanormal"/>
    <w:uiPriority w:val="49"/>
    <w:rsid w:val="0020644B"/>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81969">
      <w:bodyDiv w:val="1"/>
      <w:marLeft w:val="0"/>
      <w:marRight w:val="0"/>
      <w:marTop w:val="0"/>
      <w:marBottom w:val="0"/>
      <w:divBdr>
        <w:top w:val="none" w:sz="0" w:space="0" w:color="auto"/>
        <w:left w:val="none" w:sz="0" w:space="0" w:color="auto"/>
        <w:bottom w:val="none" w:sz="0" w:space="0" w:color="auto"/>
        <w:right w:val="none" w:sz="0" w:space="0" w:color="auto"/>
      </w:divBdr>
    </w:div>
    <w:div w:id="69274217">
      <w:bodyDiv w:val="1"/>
      <w:marLeft w:val="0"/>
      <w:marRight w:val="0"/>
      <w:marTop w:val="0"/>
      <w:marBottom w:val="0"/>
      <w:divBdr>
        <w:top w:val="none" w:sz="0" w:space="0" w:color="auto"/>
        <w:left w:val="none" w:sz="0" w:space="0" w:color="auto"/>
        <w:bottom w:val="none" w:sz="0" w:space="0" w:color="auto"/>
        <w:right w:val="none" w:sz="0" w:space="0" w:color="auto"/>
      </w:divBdr>
    </w:div>
    <w:div w:id="164900436">
      <w:bodyDiv w:val="1"/>
      <w:marLeft w:val="0"/>
      <w:marRight w:val="0"/>
      <w:marTop w:val="0"/>
      <w:marBottom w:val="0"/>
      <w:divBdr>
        <w:top w:val="none" w:sz="0" w:space="0" w:color="auto"/>
        <w:left w:val="none" w:sz="0" w:space="0" w:color="auto"/>
        <w:bottom w:val="none" w:sz="0" w:space="0" w:color="auto"/>
        <w:right w:val="none" w:sz="0" w:space="0" w:color="auto"/>
      </w:divBdr>
    </w:div>
    <w:div w:id="430393499">
      <w:bodyDiv w:val="1"/>
      <w:marLeft w:val="0"/>
      <w:marRight w:val="0"/>
      <w:marTop w:val="0"/>
      <w:marBottom w:val="0"/>
      <w:divBdr>
        <w:top w:val="none" w:sz="0" w:space="0" w:color="auto"/>
        <w:left w:val="none" w:sz="0" w:space="0" w:color="auto"/>
        <w:bottom w:val="none" w:sz="0" w:space="0" w:color="auto"/>
        <w:right w:val="none" w:sz="0" w:space="0" w:color="auto"/>
      </w:divBdr>
    </w:div>
    <w:div w:id="1173882714">
      <w:bodyDiv w:val="1"/>
      <w:marLeft w:val="0"/>
      <w:marRight w:val="0"/>
      <w:marTop w:val="0"/>
      <w:marBottom w:val="0"/>
      <w:divBdr>
        <w:top w:val="none" w:sz="0" w:space="0" w:color="auto"/>
        <w:left w:val="none" w:sz="0" w:space="0" w:color="auto"/>
        <w:bottom w:val="none" w:sz="0" w:space="0" w:color="auto"/>
        <w:right w:val="none" w:sz="0" w:space="0" w:color="auto"/>
      </w:divBdr>
    </w:div>
    <w:div w:id="1349991359">
      <w:bodyDiv w:val="1"/>
      <w:marLeft w:val="0"/>
      <w:marRight w:val="0"/>
      <w:marTop w:val="0"/>
      <w:marBottom w:val="0"/>
      <w:divBdr>
        <w:top w:val="none" w:sz="0" w:space="0" w:color="auto"/>
        <w:left w:val="none" w:sz="0" w:space="0" w:color="auto"/>
        <w:bottom w:val="none" w:sz="0" w:space="0" w:color="auto"/>
        <w:right w:val="none" w:sz="0" w:space="0" w:color="auto"/>
      </w:divBdr>
    </w:div>
    <w:div w:id="1583220358">
      <w:bodyDiv w:val="1"/>
      <w:marLeft w:val="0"/>
      <w:marRight w:val="0"/>
      <w:marTop w:val="0"/>
      <w:marBottom w:val="0"/>
      <w:divBdr>
        <w:top w:val="none" w:sz="0" w:space="0" w:color="auto"/>
        <w:left w:val="none" w:sz="0" w:space="0" w:color="auto"/>
        <w:bottom w:val="none" w:sz="0" w:space="0" w:color="auto"/>
        <w:right w:val="none" w:sz="0" w:space="0" w:color="auto"/>
      </w:divBdr>
    </w:div>
    <w:div w:id="1729300219">
      <w:bodyDiv w:val="1"/>
      <w:marLeft w:val="0"/>
      <w:marRight w:val="0"/>
      <w:marTop w:val="0"/>
      <w:marBottom w:val="0"/>
      <w:divBdr>
        <w:top w:val="none" w:sz="0" w:space="0" w:color="auto"/>
        <w:left w:val="none" w:sz="0" w:space="0" w:color="auto"/>
        <w:bottom w:val="none" w:sz="0" w:space="0" w:color="auto"/>
        <w:right w:val="none" w:sz="0" w:space="0" w:color="auto"/>
      </w:divBdr>
      <w:divsChild>
        <w:div w:id="696198687">
          <w:marLeft w:val="0"/>
          <w:marRight w:val="0"/>
          <w:marTop w:val="0"/>
          <w:marBottom w:val="0"/>
          <w:divBdr>
            <w:top w:val="none" w:sz="0" w:space="0" w:color="auto"/>
            <w:left w:val="none" w:sz="0" w:space="0" w:color="auto"/>
            <w:bottom w:val="none" w:sz="0" w:space="0" w:color="auto"/>
            <w:right w:val="none" w:sz="0" w:space="0" w:color="auto"/>
          </w:divBdr>
          <w:divsChild>
            <w:div w:id="1948611253">
              <w:marLeft w:val="0"/>
              <w:marRight w:val="0"/>
              <w:marTop w:val="0"/>
              <w:marBottom w:val="300"/>
              <w:divBdr>
                <w:top w:val="none" w:sz="0" w:space="0" w:color="auto"/>
                <w:left w:val="none" w:sz="0" w:space="0" w:color="auto"/>
                <w:bottom w:val="none" w:sz="0" w:space="0" w:color="auto"/>
                <w:right w:val="none" w:sz="0" w:space="0" w:color="auto"/>
              </w:divBdr>
            </w:div>
          </w:divsChild>
        </w:div>
        <w:div w:id="298845809">
          <w:marLeft w:val="0"/>
          <w:marRight w:val="0"/>
          <w:marTop w:val="0"/>
          <w:marBottom w:val="0"/>
          <w:divBdr>
            <w:top w:val="none" w:sz="0" w:space="0" w:color="auto"/>
            <w:left w:val="none" w:sz="0" w:space="0" w:color="auto"/>
            <w:bottom w:val="none" w:sz="0" w:space="0" w:color="auto"/>
            <w:right w:val="none" w:sz="0" w:space="0" w:color="auto"/>
          </w:divBdr>
          <w:divsChild>
            <w:div w:id="1966764327">
              <w:marLeft w:val="0"/>
              <w:marRight w:val="0"/>
              <w:marTop w:val="150"/>
              <w:marBottom w:val="300"/>
              <w:divBdr>
                <w:top w:val="none" w:sz="0" w:space="0" w:color="auto"/>
                <w:left w:val="none" w:sz="0" w:space="0" w:color="auto"/>
                <w:bottom w:val="none" w:sz="0" w:space="0" w:color="auto"/>
                <w:right w:val="none" w:sz="0" w:space="0" w:color="auto"/>
              </w:divBdr>
            </w:div>
          </w:divsChild>
        </w:div>
        <w:div w:id="1577206029">
          <w:marLeft w:val="0"/>
          <w:marRight w:val="0"/>
          <w:marTop w:val="0"/>
          <w:marBottom w:val="0"/>
          <w:divBdr>
            <w:top w:val="none" w:sz="0" w:space="0" w:color="auto"/>
            <w:left w:val="none" w:sz="0" w:space="0" w:color="auto"/>
            <w:bottom w:val="none" w:sz="0" w:space="0" w:color="auto"/>
            <w:right w:val="none" w:sz="0" w:space="0" w:color="auto"/>
          </w:divBdr>
          <w:divsChild>
            <w:div w:id="705107858">
              <w:marLeft w:val="0"/>
              <w:marRight w:val="0"/>
              <w:marTop w:val="150"/>
              <w:marBottom w:val="300"/>
              <w:divBdr>
                <w:top w:val="none" w:sz="0" w:space="0" w:color="auto"/>
                <w:left w:val="none" w:sz="0" w:space="0" w:color="auto"/>
                <w:bottom w:val="none" w:sz="0" w:space="0" w:color="auto"/>
                <w:right w:val="none" w:sz="0" w:space="0" w:color="auto"/>
              </w:divBdr>
            </w:div>
          </w:divsChild>
        </w:div>
        <w:div w:id="1662927572">
          <w:marLeft w:val="0"/>
          <w:marRight w:val="0"/>
          <w:marTop w:val="0"/>
          <w:marBottom w:val="0"/>
          <w:divBdr>
            <w:top w:val="none" w:sz="0" w:space="0" w:color="auto"/>
            <w:left w:val="none" w:sz="0" w:space="0" w:color="auto"/>
            <w:bottom w:val="none" w:sz="0" w:space="0" w:color="auto"/>
            <w:right w:val="none" w:sz="0" w:space="0" w:color="auto"/>
          </w:divBdr>
          <w:divsChild>
            <w:div w:id="84201013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a7f5+B7PfDoTafvGpOPNVnUc3Q==">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CFDE018-BA33-405E-9CC0-76D26CD82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9167</Words>
  <Characters>50419</Characters>
  <Application>Microsoft Office Word</Application>
  <DocSecurity>0</DocSecurity>
  <Lines>420</Lines>
  <Paragraphs>118</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59468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Microsoft Office</dc:creator>
  <cp:lastModifiedBy>José Luis Fabián Roque</cp:lastModifiedBy>
  <cp:revision>2</cp:revision>
  <cp:lastPrinted>2025-03-03T18:57:00Z</cp:lastPrinted>
  <dcterms:created xsi:type="dcterms:W3CDTF">2025-03-11T14:47:00Z</dcterms:created>
  <dcterms:modified xsi:type="dcterms:W3CDTF">2025-03-11T14:47:00Z</dcterms:modified>
</cp:coreProperties>
</file>