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0A24" w:rsidRPr="00376307" w:rsidRDefault="00E30A24" w:rsidP="00E30A24">
      <w:pPr>
        <w:pStyle w:val="Ttulo2"/>
        <w:numPr>
          <w:ilvl w:val="0"/>
          <w:numId w:val="0"/>
        </w:numPr>
        <w:ind w:left="720"/>
        <w:jc w:val="center"/>
      </w:pPr>
      <w:bookmarkStart w:id="0" w:name="_Toc299034383"/>
      <w:r w:rsidRPr="00376307">
        <w:t>Anexo 2 “Metodología para la cuantificación de las poblaciones potencial y objetivo”</w:t>
      </w:r>
      <w:bookmarkEnd w:id="0"/>
    </w:p>
    <w:p w:rsidR="00E30A24" w:rsidRDefault="00E30A24" w:rsidP="00E30A24">
      <w:pPr>
        <w:tabs>
          <w:tab w:val="left" w:pos="3828"/>
          <w:tab w:val="left" w:pos="4111"/>
        </w:tabs>
        <w:jc w:val="center"/>
        <w:rPr>
          <w:b/>
          <w:sz w:val="22"/>
          <w:szCs w:val="22"/>
        </w:rPr>
      </w:pPr>
    </w:p>
    <w:p w:rsidR="00E30A24" w:rsidRDefault="00E30A24" w:rsidP="00E30A24">
      <w:pPr>
        <w:spacing w:line="276" w:lineRule="auto"/>
        <w:ind w:right="51"/>
        <w:jc w:val="left"/>
        <w:rPr>
          <w:rFonts w:cs="Arial"/>
          <w:iCs/>
          <w:sz w:val="22"/>
          <w:szCs w:val="22"/>
        </w:rPr>
      </w:pPr>
      <w:r w:rsidRPr="009E4A67">
        <w:rPr>
          <w:rFonts w:cs="Arial"/>
          <w:b/>
          <w:iCs/>
          <w:sz w:val="22"/>
          <w:szCs w:val="22"/>
        </w:rPr>
        <w:t>Nombre del Programa:</w:t>
      </w:r>
      <w:r>
        <w:rPr>
          <w:rFonts w:cs="Arial"/>
          <w:iCs/>
          <w:sz w:val="22"/>
          <w:szCs w:val="22"/>
        </w:rPr>
        <w:t xml:space="preserve"> E-040 Servicios de Atención a Población Vulnerable</w:t>
      </w:r>
    </w:p>
    <w:p w:rsidR="00E30A24" w:rsidRDefault="00E30A24" w:rsidP="00E30A24">
      <w:pPr>
        <w:spacing w:line="276" w:lineRule="auto"/>
        <w:ind w:right="51"/>
        <w:jc w:val="left"/>
        <w:rPr>
          <w:rFonts w:cs="Arial"/>
          <w:iCs/>
          <w:sz w:val="22"/>
          <w:szCs w:val="22"/>
        </w:rPr>
      </w:pPr>
      <w:r w:rsidRPr="009E4A67">
        <w:rPr>
          <w:rFonts w:cs="Arial"/>
          <w:b/>
          <w:iCs/>
          <w:sz w:val="22"/>
          <w:szCs w:val="22"/>
        </w:rPr>
        <w:t>Modalidad:</w:t>
      </w:r>
      <w:r>
        <w:rPr>
          <w:rFonts w:cs="Arial"/>
          <w:iCs/>
          <w:sz w:val="22"/>
          <w:szCs w:val="22"/>
        </w:rPr>
        <w:t xml:space="preserve"> E</w:t>
      </w:r>
    </w:p>
    <w:p w:rsidR="00E30A24" w:rsidRDefault="00E30A24" w:rsidP="00E30A24">
      <w:pPr>
        <w:spacing w:line="276" w:lineRule="auto"/>
        <w:ind w:right="51"/>
        <w:jc w:val="left"/>
        <w:rPr>
          <w:rFonts w:cs="Arial"/>
          <w:iCs/>
          <w:sz w:val="22"/>
          <w:szCs w:val="22"/>
        </w:rPr>
      </w:pPr>
      <w:r w:rsidRPr="009E4A67">
        <w:rPr>
          <w:rFonts w:cs="Arial"/>
          <w:b/>
          <w:iCs/>
          <w:sz w:val="22"/>
          <w:szCs w:val="22"/>
        </w:rPr>
        <w:t>Dependencia/Entidad</w:t>
      </w:r>
      <w:r>
        <w:rPr>
          <w:rFonts w:cs="Arial"/>
          <w:iCs/>
          <w:sz w:val="22"/>
          <w:szCs w:val="22"/>
        </w:rPr>
        <w:t>: Sistema Nacional de Desarrollo Integral de la Familia</w:t>
      </w:r>
    </w:p>
    <w:p w:rsidR="00E30A24" w:rsidRDefault="00E30A24" w:rsidP="00E30A24">
      <w:pPr>
        <w:spacing w:line="276" w:lineRule="auto"/>
        <w:ind w:right="51"/>
        <w:jc w:val="left"/>
        <w:rPr>
          <w:rFonts w:cs="Arial"/>
          <w:iCs/>
          <w:sz w:val="22"/>
          <w:szCs w:val="22"/>
        </w:rPr>
      </w:pPr>
      <w:r w:rsidRPr="009E4A67">
        <w:rPr>
          <w:rFonts w:cs="Arial"/>
          <w:b/>
          <w:iCs/>
          <w:sz w:val="22"/>
          <w:szCs w:val="22"/>
        </w:rPr>
        <w:t>Unidad Responsable</w:t>
      </w:r>
      <w:r>
        <w:rPr>
          <w:rFonts w:cs="Arial"/>
          <w:iCs/>
          <w:sz w:val="22"/>
          <w:szCs w:val="22"/>
        </w:rPr>
        <w:t>: Dirección General Jurídica y de Enlace Institucional</w:t>
      </w:r>
    </w:p>
    <w:p w:rsidR="00E30A24" w:rsidRDefault="00E30A24" w:rsidP="00E30A24">
      <w:pPr>
        <w:spacing w:line="276" w:lineRule="auto"/>
        <w:ind w:right="51"/>
        <w:jc w:val="left"/>
        <w:rPr>
          <w:rFonts w:cs="Arial"/>
          <w:iCs/>
          <w:sz w:val="22"/>
          <w:szCs w:val="22"/>
        </w:rPr>
      </w:pPr>
      <w:r w:rsidRPr="009E4A67">
        <w:rPr>
          <w:rFonts w:cs="Arial"/>
          <w:b/>
          <w:iCs/>
          <w:sz w:val="22"/>
          <w:szCs w:val="22"/>
        </w:rPr>
        <w:t>Tipo de Evaluación</w:t>
      </w:r>
      <w:r>
        <w:rPr>
          <w:rFonts w:cs="Arial"/>
          <w:iCs/>
          <w:sz w:val="22"/>
          <w:szCs w:val="22"/>
        </w:rPr>
        <w:t>: Diseño</w:t>
      </w:r>
    </w:p>
    <w:p w:rsidR="00E30A24" w:rsidRPr="00682D44" w:rsidRDefault="00E30A24" w:rsidP="00E30A24">
      <w:pPr>
        <w:spacing w:line="276" w:lineRule="auto"/>
        <w:ind w:right="51"/>
        <w:jc w:val="left"/>
        <w:rPr>
          <w:rFonts w:cs="Arial"/>
          <w:iCs/>
          <w:sz w:val="22"/>
          <w:szCs w:val="22"/>
        </w:rPr>
      </w:pPr>
      <w:r w:rsidRPr="009E4A67">
        <w:rPr>
          <w:rFonts w:cs="Arial"/>
          <w:b/>
          <w:iCs/>
          <w:sz w:val="22"/>
          <w:szCs w:val="22"/>
        </w:rPr>
        <w:t>Año de la Evaluación</w:t>
      </w:r>
      <w:r>
        <w:rPr>
          <w:rFonts w:cs="Arial"/>
          <w:iCs/>
          <w:sz w:val="22"/>
          <w:szCs w:val="22"/>
        </w:rPr>
        <w:t>: 2015</w:t>
      </w:r>
    </w:p>
    <w:p w:rsidR="00E30A24" w:rsidRDefault="00E30A24" w:rsidP="00E30A24">
      <w:pPr>
        <w:tabs>
          <w:tab w:val="left" w:pos="3828"/>
          <w:tab w:val="left" w:pos="4111"/>
        </w:tabs>
        <w:rPr>
          <w:sz w:val="22"/>
          <w:szCs w:val="22"/>
        </w:rPr>
      </w:pPr>
    </w:p>
    <w:p w:rsidR="00E30A24" w:rsidRDefault="00E30A24" w:rsidP="00E30A24">
      <w:pPr>
        <w:tabs>
          <w:tab w:val="left" w:pos="3828"/>
          <w:tab w:val="left" w:pos="4111"/>
        </w:tabs>
        <w:spacing w:line="276" w:lineRule="auto"/>
        <w:rPr>
          <w:sz w:val="22"/>
          <w:szCs w:val="22"/>
        </w:rPr>
      </w:pPr>
      <w:r w:rsidRPr="0096357A">
        <w:rPr>
          <w:sz w:val="22"/>
          <w:szCs w:val="22"/>
        </w:rPr>
        <w:t>El equipo valuador considera que las metodologías no son del todo claras para determinar la cuantifiación de las poblaciones.</w:t>
      </w:r>
    </w:p>
    <w:p w:rsidR="00E30A24" w:rsidRPr="0096357A" w:rsidRDefault="00E30A24" w:rsidP="00E30A24">
      <w:pPr>
        <w:tabs>
          <w:tab w:val="left" w:pos="3828"/>
          <w:tab w:val="left" w:pos="4111"/>
        </w:tabs>
        <w:spacing w:line="276" w:lineRule="auto"/>
        <w:rPr>
          <w:sz w:val="22"/>
          <w:szCs w:val="22"/>
        </w:rPr>
      </w:pPr>
    </w:p>
    <w:p w:rsidR="00E30A24" w:rsidRPr="00B32BF3" w:rsidRDefault="00E30A24" w:rsidP="00E30A24">
      <w:pPr>
        <w:spacing w:line="276" w:lineRule="auto"/>
        <w:rPr>
          <w:b/>
          <w:sz w:val="22"/>
          <w:szCs w:val="22"/>
        </w:rPr>
      </w:pPr>
      <w:r w:rsidRPr="00B32BF3">
        <w:rPr>
          <w:b/>
          <w:sz w:val="22"/>
          <w:szCs w:val="22"/>
        </w:rPr>
        <w:t>Metodología para la cuantificación de las Poblaciones</w:t>
      </w:r>
    </w:p>
    <w:p w:rsidR="00E30A24" w:rsidRPr="00B32BF3" w:rsidRDefault="00E30A24" w:rsidP="00E30A24">
      <w:pPr>
        <w:spacing w:line="276" w:lineRule="auto"/>
        <w:rPr>
          <w:sz w:val="22"/>
          <w:szCs w:val="22"/>
        </w:rPr>
      </w:pPr>
    </w:p>
    <w:p w:rsidR="00E30A24" w:rsidRPr="00620183" w:rsidRDefault="00E30A24" w:rsidP="00E30A24">
      <w:pPr>
        <w:spacing w:line="276" w:lineRule="auto"/>
        <w:rPr>
          <w:b/>
          <w:i/>
          <w:sz w:val="22"/>
          <w:szCs w:val="22"/>
        </w:rPr>
      </w:pPr>
      <w:r w:rsidRPr="00620183">
        <w:rPr>
          <w:b/>
          <w:i/>
          <w:sz w:val="22"/>
          <w:szCs w:val="22"/>
        </w:rPr>
        <w:t>Componentes Centros de Rehabilitación:</w:t>
      </w:r>
    </w:p>
    <w:p w:rsidR="00E30A24" w:rsidRDefault="00E30A24" w:rsidP="00E30A24">
      <w:pPr>
        <w:spacing w:line="276" w:lineRule="auto"/>
        <w:rPr>
          <w:sz w:val="22"/>
          <w:szCs w:val="22"/>
        </w:rPr>
      </w:pPr>
    </w:p>
    <w:p w:rsidR="00E30A24" w:rsidRPr="00B32BF3" w:rsidRDefault="00E30A24" w:rsidP="00E30A24">
      <w:pPr>
        <w:spacing w:line="276" w:lineRule="auto"/>
        <w:rPr>
          <w:b/>
          <w:sz w:val="22"/>
          <w:szCs w:val="22"/>
        </w:rPr>
      </w:pPr>
      <w:r w:rsidRPr="00B32BF3">
        <w:rPr>
          <w:b/>
          <w:sz w:val="22"/>
          <w:szCs w:val="22"/>
        </w:rPr>
        <w:t xml:space="preserve">Población Potencial </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Cuantificación </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Se hace con base en los datos del Censo de Población y Vivienda 2010 realizado por INEGI, que declararon tener dificultad para realizar al menos una de las siete actividades evaluadas: caminar, moverse, subir o bajar (en adelante caminar o moverse); ver, aun usando lentes (ver), hablar, comunicarse o conversar (hablar o comunicarse); oír, aun usando aparato auditivo (escuchar); vestirse, bañarse o comer (atender el cuidado personal); poner atención o aprender cosas sencillas (poner atención o aprender); limitación mental (INEGI, 2010a). Esta cifra representa el 5.1% de la población total del país. (5 millones 739 mil personas en el territorio nacional)</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En consecuencia de lo anterior, la población potencial del componente se considera sólo en referencia al número de personas con discapacidad que es de 5 millones 739 mil personas y se podrá incorporar la estimación de potencialidad de presentar discapacidad cuando a través de los censos nacionales se pueda conocer este número de personas. </w:t>
      </w:r>
    </w:p>
    <w:p w:rsidR="00E30A24" w:rsidRPr="00B32BF3" w:rsidRDefault="00E30A24" w:rsidP="00E30A24">
      <w:pPr>
        <w:spacing w:line="276" w:lineRule="auto"/>
        <w:rPr>
          <w:b/>
          <w:sz w:val="22"/>
          <w:szCs w:val="22"/>
        </w:rPr>
      </w:pPr>
      <w:r w:rsidRPr="00B32BF3">
        <w:rPr>
          <w:b/>
          <w:sz w:val="22"/>
          <w:szCs w:val="22"/>
        </w:rPr>
        <w:t>Población objetivo</w:t>
      </w:r>
    </w:p>
    <w:p w:rsidR="00E30A24" w:rsidRPr="00B32BF3" w:rsidRDefault="00E30A24" w:rsidP="00E30A24">
      <w:pPr>
        <w:widowControl w:val="0"/>
        <w:autoSpaceDE w:val="0"/>
        <w:autoSpaceDN w:val="0"/>
        <w:adjustRightInd w:val="0"/>
        <w:spacing w:after="240" w:line="276" w:lineRule="auto"/>
        <w:rPr>
          <w:rFonts w:cs="Times"/>
          <w:b/>
          <w:sz w:val="22"/>
          <w:szCs w:val="22"/>
          <w:lang w:val="es-ES"/>
        </w:rPr>
      </w:pPr>
      <w:r w:rsidRPr="00B32BF3">
        <w:rPr>
          <w:rFonts w:cs="Times"/>
          <w:sz w:val="22"/>
          <w:szCs w:val="22"/>
          <w:lang w:val="es-ES"/>
        </w:rPr>
        <w:t xml:space="preserve">Cuantificación de la población objetivo </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De acuerdo a lo previamente expuesto, la población objetivo del componente Centros de Rehabilitación son: </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Pr>
          <w:rFonts w:cs="Times"/>
          <w:sz w:val="22"/>
          <w:szCs w:val="22"/>
          <w:lang w:val="es-ES"/>
        </w:rPr>
        <w:t>A</w:t>
      </w:r>
      <w:r w:rsidRPr="00B32BF3">
        <w:rPr>
          <w:rFonts w:cs="Times"/>
          <w:sz w:val="22"/>
          <w:szCs w:val="22"/>
          <w:lang w:val="es-ES"/>
        </w:rPr>
        <w:t xml:space="preserve">quellas personas con discapacidad o en riesgo potencial de presentarla que a través de la valoración médica son candidatos al servicio de atención </w:t>
      </w:r>
      <w:proofErr w:type="spellStart"/>
      <w:r w:rsidRPr="00B32BF3">
        <w:rPr>
          <w:rFonts w:cs="Times"/>
          <w:sz w:val="22"/>
          <w:szCs w:val="22"/>
          <w:lang w:val="es-ES"/>
        </w:rPr>
        <w:t>rehabilitatoria</w:t>
      </w:r>
      <w:proofErr w:type="spellEnd"/>
      <w:r w:rsidRPr="00B32BF3">
        <w:rPr>
          <w:rFonts w:cs="Times"/>
          <w:sz w:val="22"/>
          <w:szCs w:val="22"/>
          <w:lang w:val="es-ES"/>
        </w:rPr>
        <w:t xml:space="preserve"> esté o no presente la especialidad médica o paramédica en el centro de rehabilitación. </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El dato más aproximado con que el componente cuenta para esta estimación es el registro de pre consulta. En el cual existen dos respuestas, la primera es sí corresponde que se refiere a que el paciente pasa a la atención médica o paramédica especializada. La segunda es no corresponde que se refiere a dos respuestas principalmente: i) que no existe la especialidad en el centro o ii) que la patología no corresponde al servicio de </w:t>
      </w:r>
      <w:r w:rsidRPr="00B32BF3">
        <w:rPr>
          <w:rFonts w:cs="Times"/>
          <w:sz w:val="22"/>
          <w:szCs w:val="22"/>
          <w:lang w:val="es-ES"/>
        </w:rPr>
        <w:lastRenderedPageBreak/>
        <w:t xml:space="preserve">atención médica en rehabilitación. </w:t>
      </w:r>
    </w:p>
    <w:p w:rsidR="00E30A24" w:rsidRPr="0062018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Con la adecuación del registro no corresponde, se podrá estimar con exactitud la demanda del servicio en atención </w:t>
      </w:r>
      <w:proofErr w:type="spellStart"/>
      <w:r w:rsidRPr="00B32BF3">
        <w:rPr>
          <w:rFonts w:cs="Times"/>
          <w:sz w:val="22"/>
          <w:szCs w:val="22"/>
          <w:lang w:val="es-ES"/>
        </w:rPr>
        <w:t>rehabilitatoria</w:t>
      </w:r>
      <w:proofErr w:type="spellEnd"/>
      <w:r w:rsidRPr="00B32BF3">
        <w:rPr>
          <w:rFonts w:cs="Times"/>
          <w:sz w:val="22"/>
          <w:szCs w:val="22"/>
          <w:lang w:val="es-ES"/>
        </w:rPr>
        <w:t xml:space="preserve">. Aún con la salvedad del dato se considera el más aproximado para dimensionar la </w:t>
      </w:r>
      <w:r w:rsidRPr="00620183">
        <w:rPr>
          <w:rFonts w:cs="Times"/>
          <w:sz w:val="22"/>
          <w:szCs w:val="22"/>
          <w:lang w:val="es-ES"/>
        </w:rPr>
        <w:t xml:space="preserve">demanda del servicio actualmente. </w:t>
      </w:r>
    </w:p>
    <w:p w:rsidR="00E30A24" w:rsidRPr="00620183" w:rsidRDefault="00E30A24" w:rsidP="00E30A24">
      <w:pPr>
        <w:widowControl w:val="0"/>
        <w:autoSpaceDE w:val="0"/>
        <w:autoSpaceDN w:val="0"/>
        <w:adjustRightInd w:val="0"/>
        <w:spacing w:after="240" w:line="276" w:lineRule="auto"/>
        <w:rPr>
          <w:rFonts w:cs="Times"/>
          <w:b/>
          <w:i/>
          <w:sz w:val="22"/>
          <w:szCs w:val="22"/>
          <w:lang w:val="es-ES"/>
        </w:rPr>
      </w:pPr>
      <w:r w:rsidRPr="00620183">
        <w:rPr>
          <w:rFonts w:cs="Times"/>
          <w:b/>
          <w:i/>
          <w:sz w:val="22"/>
          <w:szCs w:val="22"/>
          <w:lang w:val="es-ES"/>
        </w:rPr>
        <w:t xml:space="preserve">Componente Casas Asistenciales Menores </w:t>
      </w:r>
    </w:p>
    <w:p w:rsidR="00E30A24" w:rsidRPr="00B32BF3" w:rsidRDefault="00E30A24" w:rsidP="00E30A24">
      <w:pPr>
        <w:widowControl w:val="0"/>
        <w:autoSpaceDE w:val="0"/>
        <w:autoSpaceDN w:val="0"/>
        <w:adjustRightInd w:val="0"/>
        <w:spacing w:line="276" w:lineRule="auto"/>
        <w:rPr>
          <w:rFonts w:cs="Times"/>
          <w:sz w:val="22"/>
          <w:szCs w:val="22"/>
          <w:lang w:val="es-ES"/>
        </w:rPr>
      </w:pPr>
      <w:r w:rsidRPr="00B32BF3">
        <w:rPr>
          <w:rFonts w:cs="Times"/>
          <w:sz w:val="22"/>
          <w:szCs w:val="22"/>
          <w:lang w:val="es-ES"/>
        </w:rPr>
        <w:t xml:space="preserve">La población objetivo: </w:t>
      </w:r>
    </w:p>
    <w:p w:rsidR="00E30A24" w:rsidRDefault="00E30A24" w:rsidP="00E30A24">
      <w:pPr>
        <w:widowControl w:val="0"/>
        <w:autoSpaceDE w:val="0"/>
        <w:autoSpaceDN w:val="0"/>
        <w:adjustRightInd w:val="0"/>
        <w:spacing w:line="276" w:lineRule="auto"/>
        <w:rPr>
          <w:rFonts w:cs="Times"/>
          <w:sz w:val="22"/>
          <w:szCs w:val="22"/>
          <w:lang w:val="es-ES"/>
        </w:rPr>
      </w:pPr>
      <w:r w:rsidRPr="00B32BF3">
        <w:rPr>
          <w:rFonts w:cs="Times"/>
          <w:sz w:val="22"/>
          <w:szCs w:val="22"/>
          <w:lang w:val="es-ES"/>
        </w:rPr>
        <w:t xml:space="preserve">Menores de edad en situación de riesgo o vulnerabilidad que cuenten con un estado de salud físico y psicológico que le permita incorporarse a los programas de atención integral de los centros y a la vida en comunidad (DGIS, 2012a). </w:t>
      </w:r>
    </w:p>
    <w:p w:rsidR="00E30A24" w:rsidRPr="00B32BF3" w:rsidRDefault="00E30A24" w:rsidP="00E30A24">
      <w:pPr>
        <w:widowControl w:val="0"/>
        <w:autoSpaceDE w:val="0"/>
        <w:autoSpaceDN w:val="0"/>
        <w:adjustRightInd w:val="0"/>
        <w:spacing w:line="276" w:lineRule="auto"/>
        <w:rPr>
          <w:rFonts w:cs="Times"/>
          <w:sz w:val="22"/>
          <w:szCs w:val="22"/>
          <w:lang w:val="es-ES"/>
        </w:rPr>
      </w:pPr>
      <w:r>
        <w:rPr>
          <w:rFonts w:cs="Times"/>
          <w:sz w:val="22"/>
          <w:szCs w:val="22"/>
          <w:lang w:val="es-ES"/>
        </w:rPr>
        <w:t>Metodología</w:t>
      </w:r>
    </w:p>
    <w:p w:rsidR="00E30A24"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1Menores en pobreza extrema, CONEVAL (2013) con datos de ENIGH, 2012. </w:t>
      </w:r>
    </w:p>
    <w:p w:rsidR="00E30A24"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2Promedio de la población programada de 2010 a 2014 </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 La población potencial no puede ser estimada con suficiente certeza. </w:t>
      </w:r>
    </w:p>
    <w:p w:rsidR="00E30A24" w:rsidRPr="006C550D" w:rsidRDefault="00E30A24" w:rsidP="00E30A24">
      <w:pPr>
        <w:widowControl w:val="0"/>
        <w:autoSpaceDE w:val="0"/>
        <w:autoSpaceDN w:val="0"/>
        <w:adjustRightInd w:val="0"/>
        <w:spacing w:after="240" w:line="276" w:lineRule="auto"/>
        <w:rPr>
          <w:rFonts w:cs="Times"/>
          <w:b/>
          <w:sz w:val="22"/>
          <w:szCs w:val="22"/>
          <w:lang w:val="es-ES"/>
        </w:rPr>
      </w:pPr>
      <w:r w:rsidRPr="006C550D">
        <w:rPr>
          <w:rFonts w:cs="Times"/>
          <w:b/>
          <w:sz w:val="22"/>
          <w:szCs w:val="22"/>
          <w:lang w:val="es-ES"/>
        </w:rPr>
        <w:t xml:space="preserve">Componente Casas Asistenciales Adultos Mayores </w:t>
      </w:r>
    </w:p>
    <w:p w:rsidR="00E30A24" w:rsidRPr="006C550D" w:rsidRDefault="00E30A24" w:rsidP="00E30A24">
      <w:pPr>
        <w:widowControl w:val="0"/>
        <w:autoSpaceDE w:val="0"/>
        <w:autoSpaceDN w:val="0"/>
        <w:adjustRightInd w:val="0"/>
        <w:spacing w:after="240" w:line="276" w:lineRule="auto"/>
        <w:rPr>
          <w:rFonts w:cs="Times"/>
          <w:b/>
          <w:sz w:val="22"/>
          <w:szCs w:val="22"/>
          <w:lang w:val="es-ES"/>
        </w:rPr>
      </w:pPr>
      <w:r w:rsidRPr="006C550D">
        <w:rPr>
          <w:rFonts w:cs="Times"/>
          <w:b/>
          <w:sz w:val="22"/>
          <w:szCs w:val="22"/>
          <w:lang w:val="es-ES"/>
        </w:rPr>
        <w:t xml:space="preserve">Población objetivo: </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Adultos mayores con 60 años cumplidos o más que se encuentran en situación de desamparo, incapacidad, marginación o sujeta a maltrato, no portador de enfermedades infectocontagiosas y ser aptos para interactuar adecuadamente con los beneficiarios y personal de los centros. En caso de presentar alguna discapacidad, que esta les permita incorporarse a los programas de atención integral de los centros y a la vida en comunidad (DGIS, 2012b). </w:t>
      </w:r>
    </w:p>
    <w:p w:rsidR="00E30A24"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1Adultos mayores en pobreza extrema, CONEVAL (2013) con datos de ENIGH, 2012. </w:t>
      </w:r>
    </w:p>
    <w:p w:rsidR="00E30A24"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2Promedio de la población programada de 2010 a 2014 </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 La población potencial no puede ser estimada con suficiente certeza. </w:t>
      </w:r>
    </w:p>
    <w:p w:rsidR="00E30A24" w:rsidRPr="006C550D" w:rsidRDefault="00E30A24" w:rsidP="00E30A24">
      <w:pPr>
        <w:widowControl w:val="0"/>
        <w:autoSpaceDE w:val="0"/>
        <w:autoSpaceDN w:val="0"/>
        <w:adjustRightInd w:val="0"/>
        <w:spacing w:after="240" w:line="276" w:lineRule="auto"/>
        <w:rPr>
          <w:rFonts w:cs="Times"/>
          <w:b/>
          <w:sz w:val="22"/>
          <w:szCs w:val="22"/>
          <w:lang w:val="es-ES"/>
        </w:rPr>
      </w:pPr>
      <w:r w:rsidRPr="006C550D">
        <w:rPr>
          <w:rFonts w:cs="Times"/>
          <w:b/>
          <w:sz w:val="22"/>
          <w:szCs w:val="22"/>
          <w:lang w:val="es-ES"/>
        </w:rPr>
        <w:t xml:space="preserve">Componente Campamentos Recreativos </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La población objetivo: </w:t>
      </w:r>
    </w:p>
    <w:p w:rsidR="00E30A24" w:rsidRPr="00B32BF3" w:rsidRDefault="00E30A24" w:rsidP="00E30A24">
      <w:pPr>
        <w:widowControl w:val="0"/>
        <w:autoSpaceDE w:val="0"/>
        <w:autoSpaceDN w:val="0"/>
        <w:adjustRightInd w:val="0"/>
        <w:spacing w:after="240" w:line="276" w:lineRule="auto"/>
        <w:rPr>
          <w:rFonts w:cs="Times"/>
          <w:sz w:val="22"/>
          <w:szCs w:val="22"/>
          <w:lang w:val="es-ES"/>
        </w:rPr>
      </w:pPr>
      <w:r w:rsidRPr="00B32BF3">
        <w:rPr>
          <w:rFonts w:cs="Times"/>
          <w:sz w:val="22"/>
          <w:szCs w:val="22"/>
          <w:lang w:val="es-ES"/>
        </w:rPr>
        <w:t xml:space="preserve">Grupos integrados por personas sujetas de asistencia social de: </w:t>
      </w:r>
    </w:p>
    <w:p w:rsidR="00E30A24" w:rsidRPr="00B32BF3" w:rsidRDefault="00E30A24" w:rsidP="00E30A24">
      <w:pPr>
        <w:widowControl w:val="0"/>
        <w:numPr>
          <w:ilvl w:val="0"/>
          <w:numId w:val="1"/>
        </w:numPr>
        <w:tabs>
          <w:tab w:val="left" w:pos="220"/>
          <w:tab w:val="left" w:pos="720"/>
        </w:tabs>
        <w:autoSpaceDE w:val="0"/>
        <w:autoSpaceDN w:val="0"/>
        <w:adjustRightInd w:val="0"/>
        <w:spacing w:after="240" w:line="276" w:lineRule="auto"/>
        <w:ind w:hanging="720"/>
        <w:rPr>
          <w:rFonts w:cs="Times"/>
          <w:sz w:val="22"/>
          <w:szCs w:val="22"/>
          <w:lang w:val="es-ES"/>
        </w:rPr>
      </w:pPr>
      <w:r w:rsidRPr="00B32BF3">
        <w:rPr>
          <w:rFonts w:cs="Times"/>
          <w:sz w:val="22"/>
          <w:szCs w:val="22"/>
          <w:lang w:val="es-ES"/>
        </w:rPr>
        <w:t>Menores y adolescentes de 7 a 18 años  </w:t>
      </w:r>
    </w:p>
    <w:p w:rsidR="00E30A24" w:rsidRPr="00B32BF3" w:rsidRDefault="00E30A24" w:rsidP="00E30A24">
      <w:pPr>
        <w:widowControl w:val="0"/>
        <w:numPr>
          <w:ilvl w:val="0"/>
          <w:numId w:val="1"/>
        </w:numPr>
        <w:tabs>
          <w:tab w:val="left" w:pos="220"/>
          <w:tab w:val="left" w:pos="720"/>
        </w:tabs>
        <w:autoSpaceDE w:val="0"/>
        <w:autoSpaceDN w:val="0"/>
        <w:adjustRightInd w:val="0"/>
        <w:spacing w:after="240" w:line="276" w:lineRule="auto"/>
        <w:ind w:hanging="720"/>
        <w:rPr>
          <w:rFonts w:cs="Times"/>
          <w:sz w:val="22"/>
          <w:szCs w:val="22"/>
          <w:lang w:val="es-ES"/>
        </w:rPr>
      </w:pPr>
      <w:r w:rsidRPr="00B32BF3">
        <w:rPr>
          <w:rFonts w:cs="Times"/>
          <w:sz w:val="22"/>
          <w:szCs w:val="22"/>
          <w:lang w:val="es-ES"/>
        </w:rPr>
        <w:t>Adultos Mayores de 60 años en adelante  </w:t>
      </w:r>
    </w:p>
    <w:p w:rsidR="00E30A24" w:rsidRPr="00B32BF3" w:rsidRDefault="00E30A24" w:rsidP="00E30A24">
      <w:pPr>
        <w:widowControl w:val="0"/>
        <w:numPr>
          <w:ilvl w:val="0"/>
          <w:numId w:val="1"/>
        </w:numPr>
        <w:tabs>
          <w:tab w:val="left" w:pos="220"/>
          <w:tab w:val="left" w:pos="720"/>
        </w:tabs>
        <w:autoSpaceDE w:val="0"/>
        <w:autoSpaceDN w:val="0"/>
        <w:adjustRightInd w:val="0"/>
        <w:spacing w:after="240" w:line="276" w:lineRule="auto"/>
        <w:ind w:hanging="720"/>
        <w:rPr>
          <w:rFonts w:cs="Times"/>
          <w:sz w:val="22"/>
          <w:szCs w:val="22"/>
          <w:lang w:val="es-ES"/>
        </w:rPr>
      </w:pPr>
      <w:r w:rsidRPr="00B32BF3">
        <w:rPr>
          <w:rFonts w:cs="Times"/>
          <w:sz w:val="22"/>
          <w:szCs w:val="22"/>
          <w:lang w:val="es-ES"/>
        </w:rPr>
        <w:t>Personas con discapacidad de 7 años en adelante  </w:t>
      </w:r>
    </w:p>
    <w:p w:rsidR="00E30A24" w:rsidRDefault="00E30A24" w:rsidP="00E30A24">
      <w:pPr>
        <w:widowControl w:val="0"/>
        <w:autoSpaceDE w:val="0"/>
        <w:autoSpaceDN w:val="0"/>
        <w:adjustRightInd w:val="0"/>
        <w:spacing w:after="240" w:line="276" w:lineRule="auto"/>
        <w:rPr>
          <w:rFonts w:cs="Times"/>
          <w:sz w:val="22"/>
          <w:szCs w:val="22"/>
          <w:lang w:val="es-ES"/>
        </w:rPr>
      </w:pPr>
      <w:r w:rsidRPr="006C550D">
        <w:rPr>
          <w:rFonts w:cs="Times"/>
          <w:sz w:val="22"/>
          <w:szCs w:val="22"/>
          <w:lang w:val="es-ES"/>
        </w:rPr>
        <w:t>1Menores, adultos mayores y personas con discapacidad en pobreza extrema, CONEVAL (2013) con datos de ENIGH, 2012. </w:t>
      </w:r>
    </w:p>
    <w:p w:rsidR="00E30A24" w:rsidRPr="006C550D" w:rsidRDefault="00E30A24" w:rsidP="00E30A24">
      <w:pPr>
        <w:widowControl w:val="0"/>
        <w:autoSpaceDE w:val="0"/>
        <w:autoSpaceDN w:val="0"/>
        <w:adjustRightInd w:val="0"/>
        <w:spacing w:after="240" w:line="276" w:lineRule="auto"/>
        <w:rPr>
          <w:rFonts w:cs="Times"/>
          <w:sz w:val="22"/>
          <w:szCs w:val="22"/>
          <w:lang w:val="es-ES"/>
        </w:rPr>
      </w:pPr>
      <w:r w:rsidRPr="006C550D">
        <w:rPr>
          <w:rFonts w:cs="Times"/>
          <w:sz w:val="22"/>
          <w:szCs w:val="22"/>
          <w:lang w:val="es-ES"/>
        </w:rPr>
        <w:t xml:space="preserve">2Promedio de la demanda del servicio de 2010 a 2013, número de solicitudes por cien que es el promedio de personas por solicitud. </w:t>
      </w:r>
    </w:p>
    <w:p w:rsidR="00E30A24" w:rsidRDefault="00E30A24" w:rsidP="00E30A24">
      <w:pPr>
        <w:widowControl w:val="0"/>
        <w:autoSpaceDE w:val="0"/>
        <w:autoSpaceDN w:val="0"/>
        <w:adjustRightInd w:val="0"/>
        <w:spacing w:after="240" w:line="276" w:lineRule="auto"/>
        <w:rPr>
          <w:rFonts w:cs="Times"/>
          <w:sz w:val="22"/>
          <w:szCs w:val="22"/>
          <w:lang w:val="es-ES"/>
        </w:rPr>
      </w:pPr>
      <w:r w:rsidRPr="006C550D">
        <w:rPr>
          <w:rFonts w:cs="Times"/>
          <w:sz w:val="22"/>
          <w:szCs w:val="22"/>
          <w:lang w:val="es-ES"/>
        </w:rPr>
        <w:t>3Promedio de la población atendida 2010 a 2013.</w:t>
      </w:r>
    </w:p>
    <w:p w:rsidR="00E30A24" w:rsidRPr="006C550D" w:rsidRDefault="00E30A24" w:rsidP="00E30A24">
      <w:pPr>
        <w:widowControl w:val="0"/>
        <w:autoSpaceDE w:val="0"/>
        <w:autoSpaceDN w:val="0"/>
        <w:adjustRightInd w:val="0"/>
        <w:spacing w:after="240" w:line="276" w:lineRule="auto"/>
        <w:rPr>
          <w:rFonts w:cs="Times"/>
          <w:sz w:val="22"/>
          <w:szCs w:val="22"/>
          <w:lang w:val="es-ES"/>
        </w:rPr>
      </w:pPr>
      <w:r w:rsidRPr="006C550D">
        <w:rPr>
          <w:rFonts w:cs="Times"/>
          <w:sz w:val="22"/>
          <w:szCs w:val="22"/>
          <w:lang w:val="es-ES"/>
        </w:rPr>
        <w:t xml:space="preserve"> * La población potencial no puede ser estimada con suficiente certeza. </w:t>
      </w:r>
    </w:p>
    <w:p w:rsidR="00CB34DD" w:rsidRDefault="00CB34DD">
      <w:bookmarkStart w:id="1" w:name="_GoBack"/>
      <w:bookmarkEnd w:id="1"/>
    </w:p>
    <w:sectPr w:rsidR="00CB34DD" w:rsidSect="00CB34D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Arial Narrow">
    <w:panose1 w:val="020B0506020202030204"/>
    <w:charset w:val="00"/>
    <w:family w:val="auto"/>
    <w:pitch w:val="variable"/>
    <w:sig w:usb0="00000287" w:usb1="00000800" w:usb2="00000000" w:usb3="00000000" w:csb0="000000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928"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4D7B52"/>
    <w:multiLevelType w:val="hybridMultilevel"/>
    <w:tmpl w:val="8DE4E312"/>
    <w:lvl w:ilvl="0" w:tplc="28C0A67A">
      <w:start w:val="1"/>
      <w:numFmt w:val="upperRoman"/>
      <w:pStyle w:val="Ttulo2"/>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A24"/>
    <w:rsid w:val="00CB34DD"/>
    <w:rsid w:val="00E30A24"/>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32D2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A24"/>
    <w:pPr>
      <w:jc w:val="both"/>
    </w:pPr>
    <w:rPr>
      <w:rFonts w:ascii="Arial Narrow" w:eastAsia="Times New Roman" w:hAnsi="Arial Narrow" w:cs="Times New Roman"/>
      <w:lang w:val="es-MX" w:eastAsia="en-US"/>
    </w:rPr>
  </w:style>
  <w:style w:type="paragraph" w:styleId="Ttulo2">
    <w:name w:val="heading 2"/>
    <w:basedOn w:val="Normal"/>
    <w:next w:val="Normal"/>
    <w:link w:val="Ttulo2Car"/>
    <w:uiPriority w:val="9"/>
    <w:unhideWhenUsed/>
    <w:qFormat/>
    <w:rsid w:val="00E30A24"/>
    <w:pPr>
      <w:keepNext/>
      <w:keepLines/>
      <w:numPr>
        <w:numId w:val="2"/>
      </w:numPr>
      <w:spacing w:before="200"/>
      <w:outlineLvl w:val="1"/>
    </w:pPr>
    <w:rPr>
      <w:rFonts w:eastAsiaTheme="majorEastAsia" w:cstheme="majorBidi"/>
      <w:b/>
      <w:bCs/>
      <w:color w:val="000000" w:themeColor="text1"/>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30A24"/>
    <w:rPr>
      <w:rFonts w:ascii="Arial Narrow" w:eastAsiaTheme="majorEastAsia" w:hAnsi="Arial Narrow" w:cstheme="majorBidi"/>
      <w:b/>
      <w:bCs/>
      <w:color w:val="000000" w:themeColor="text1"/>
      <w:sz w:val="22"/>
      <w:szCs w:val="26"/>
      <w:lang w:val="es-MX"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A24"/>
    <w:pPr>
      <w:jc w:val="both"/>
    </w:pPr>
    <w:rPr>
      <w:rFonts w:ascii="Arial Narrow" w:eastAsia="Times New Roman" w:hAnsi="Arial Narrow" w:cs="Times New Roman"/>
      <w:lang w:val="es-MX" w:eastAsia="en-US"/>
    </w:rPr>
  </w:style>
  <w:style w:type="paragraph" w:styleId="Ttulo2">
    <w:name w:val="heading 2"/>
    <w:basedOn w:val="Normal"/>
    <w:next w:val="Normal"/>
    <w:link w:val="Ttulo2Car"/>
    <w:uiPriority w:val="9"/>
    <w:unhideWhenUsed/>
    <w:qFormat/>
    <w:rsid w:val="00E30A24"/>
    <w:pPr>
      <w:keepNext/>
      <w:keepLines/>
      <w:numPr>
        <w:numId w:val="2"/>
      </w:numPr>
      <w:spacing w:before="200"/>
      <w:outlineLvl w:val="1"/>
    </w:pPr>
    <w:rPr>
      <w:rFonts w:eastAsiaTheme="majorEastAsia" w:cstheme="majorBidi"/>
      <w:b/>
      <w:bCs/>
      <w:color w:val="000000" w:themeColor="text1"/>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E30A24"/>
    <w:rPr>
      <w:rFonts w:ascii="Arial Narrow" w:eastAsiaTheme="majorEastAsia" w:hAnsi="Arial Narrow" w:cstheme="majorBidi"/>
      <w:b/>
      <w:bCs/>
      <w:color w:val="000000" w:themeColor="text1"/>
      <w:sz w:val="22"/>
      <w:szCs w:val="26"/>
      <w:lang w:val="es-MX"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710</Words>
  <Characters>3905</Characters>
  <Application>Microsoft Macintosh Word</Application>
  <DocSecurity>0</DocSecurity>
  <Lines>32</Lines>
  <Paragraphs>9</Paragraphs>
  <ScaleCrop>false</ScaleCrop>
  <Company>IDEAS</Company>
  <LinksUpToDate>false</LinksUpToDate>
  <CharactersWithSpaces>4606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 Castaneda</dc:creator>
  <cp:keywords/>
  <dc:description/>
  <cp:lastModifiedBy>Norma Castaneda</cp:lastModifiedBy>
  <cp:revision>1</cp:revision>
  <dcterms:created xsi:type="dcterms:W3CDTF">2015-08-02T18:30:00Z</dcterms:created>
  <dcterms:modified xsi:type="dcterms:W3CDTF">2015-08-02T18:31:00Z</dcterms:modified>
</cp:coreProperties>
</file>