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774A" w:rsidRPr="00C42EA3" w:rsidRDefault="004A774A" w:rsidP="00C42EA3">
      <w:pPr>
        <w:pStyle w:val="Sinespaciado"/>
      </w:pPr>
    </w:p>
    <w:p w:rsidR="00950A2D" w:rsidRPr="00C42EA3" w:rsidRDefault="00950A2D" w:rsidP="00950A2D">
      <w:pPr>
        <w:pStyle w:val="Ttulo1"/>
        <w:spacing w:before="0" w:after="240"/>
        <w:jc w:val="center"/>
        <w:rPr>
          <w:rFonts w:cs="Arial"/>
          <w:b w:val="0"/>
          <w:bCs w:val="0"/>
        </w:rPr>
      </w:pPr>
      <w:r>
        <w:rPr>
          <w:color w:val="auto"/>
          <w:sz w:val="22"/>
          <w:szCs w:val="22"/>
        </w:rPr>
        <w:t xml:space="preserve">Anexo </w:t>
      </w:r>
      <w:r w:rsidR="00D731A6">
        <w:rPr>
          <w:color w:val="auto"/>
          <w:sz w:val="22"/>
          <w:szCs w:val="22"/>
        </w:rPr>
        <w:t>4</w:t>
      </w:r>
      <w:r w:rsidRPr="00C42EA3">
        <w:rPr>
          <w:color w:val="auto"/>
          <w:sz w:val="22"/>
          <w:szCs w:val="22"/>
        </w:rPr>
        <w:t xml:space="preserve">: </w:t>
      </w:r>
      <w:r w:rsidRPr="00950A2D">
        <w:rPr>
          <w:color w:val="auto"/>
          <w:sz w:val="22"/>
          <w:szCs w:val="22"/>
        </w:rPr>
        <w:t>Formato de Aspectos Relevantes de la Evaluación</w:t>
      </w:r>
    </w:p>
    <w:tbl>
      <w:tblPr>
        <w:tblW w:w="9490" w:type="dxa"/>
        <w:jc w:val="center"/>
        <w:tblLook w:val="04A0" w:firstRow="1" w:lastRow="0" w:firstColumn="1" w:lastColumn="0" w:noHBand="0" w:noVBand="1"/>
      </w:tblPr>
      <w:tblGrid>
        <w:gridCol w:w="42"/>
        <w:gridCol w:w="885"/>
        <w:gridCol w:w="1213"/>
        <w:gridCol w:w="516"/>
        <w:gridCol w:w="1029"/>
        <w:gridCol w:w="5805"/>
      </w:tblGrid>
      <w:tr w:rsidR="00950A2D" w:rsidRPr="00950A2D" w:rsidTr="00861B62">
        <w:trPr>
          <w:trHeight w:val="445"/>
          <w:jc w:val="center"/>
        </w:trPr>
        <w:tc>
          <w:tcPr>
            <w:tcW w:w="9490" w:type="dxa"/>
            <w:gridSpan w:val="6"/>
            <w:shd w:val="clear" w:color="auto" w:fill="EAF1DD" w:themeFill="accent3" w:themeFillTint="33"/>
            <w:hideMark/>
          </w:tcPr>
          <w:p w:rsidR="00950A2D" w:rsidRPr="00950A2D" w:rsidRDefault="00943ED2" w:rsidP="00943ED2">
            <w:pPr>
              <w:pStyle w:val="CABEZA"/>
              <w:jc w:val="both"/>
              <w:rPr>
                <w:rFonts w:ascii="Cambria" w:hAnsi="Cambria"/>
                <w:lang w:val="es-MX"/>
              </w:rPr>
            </w:pPr>
            <w:r>
              <w:rPr>
                <w:rFonts w:ascii="Cambria" w:hAnsi="Cambria"/>
                <w:i/>
                <w:lang w:val="es-MX"/>
              </w:rPr>
              <w:t>12 Salud</w:t>
            </w:r>
          </w:p>
        </w:tc>
      </w:tr>
      <w:tr w:rsidR="00950A2D" w:rsidRPr="00950A2D" w:rsidTr="00861B62">
        <w:trPr>
          <w:trHeight w:val="769"/>
          <w:jc w:val="center"/>
        </w:trPr>
        <w:tc>
          <w:tcPr>
            <w:tcW w:w="927" w:type="dxa"/>
            <w:gridSpan w:val="2"/>
            <w:shd w:val="clear" w:color="auto" w:fill="D9D9D9" w:themeFill="background1" w:themeFillShade="D9"/>
            <w:hideMark/>
          </w:tcPr>
          <w:p w:rsidR="00950A2D" w:rsidRPr="00950A2D" w:rsidRDefault="00950A2D" w:rsidP="00861B62">
            <w:pPr>
              <w:pStyle w:val="Textocuadroneg"/>
              <w:rPr>
                <w:rFonts w:ascii="Cambria" w:hAnsi="Cambria"/>
                <w:sz w:val="16"/>
                <w:szCs w:val="16"/>
              </w:rPr>
            </w:pPr>
            <w:r w:rsidRPr="00950A2D">
              <w:rPr>
                <w:rFonts w:ascii="Cambria" w:hAnsi="Cambria"/>
                <w:sz w:val="16"/>
                <w:szCs w:val="16"/>
              </w:rPr>
              <w:t xml:space="preserve">Clave del </w:t>
            </w:r>
            <w:proofErr w:type="spellStart"/>
            <w:r w:rsidRPr="00950A2D">
              <w:rPr>
                <w:rFonts w:ascii="Cambria" w:hAnsi="Cambria"/>
                <w:sz w:val="16"/>
                <w:szCs w:val="16"/>
              </w:rPr>
              <w:t>Pp</w:t>
            </w:r>
            <w:proofErr w:type="spellEnd"/>
            <w:r w:rsidRPr="00950A2D">
              <w:rPr>
                <w:rFonts w:ascii="Cambria" w:hAnsi="Cambria"/>
                <w:sz w:val="16"/>
                <w:szCs w:val="16"/>
              </w:rPr>
              <w:t>:</w:t>
            </w:r>
          </w:p>
        </w:tc>
        <w:tc>
          <w:tcPr>
            <w:tcW w:w="1213" w:type="dxa"/>
            <w:shd w:val="clear" w:color="auto" w:fill="D9D9D9" w:themeFill="background1" w:themeFillShade="D9"/>
            <w:hideMark/>
          </w:tcPr>
          <w:p w:rsidR="00950A2D" w:rsidRPr="00943ED2" w:rsidRDefault="00943ED2" w:rsidP="00861B62">
            <w:pPr>
              <w:pStyle w:val="Textocuadro"/>
              <w:jc w:val="both"/>
              <w:rPr>
                <w:rFonts w:ascii="Cambria" w:hAnsi="Cambria"/>
                <w:i/>
                <w:sz w:val="16"/>
                <w:szCs w:val="16"/>
              </w:rPr>
            </w:pPr>
            <w:r w:rsidRPr="00943ED2">
              <w:rPr>
                <w:rFonts w:ascii="Cambria" w:hAnsi="Cambria"/>
                <w:i/>
                <w:sz w:val="16"/>
                <w:szCs w:val="16"/>
              </w:rPr>
              <w:t>E023</w:t>
            </w:r>
          </w:p>
        </w:tc>
        <w:tc>
          <w:tcPr>
            <w:tcW w:w="1545" w:type="dxa"/>
            <w:gridSpan w:val="2"/>
            <w:shd w:val="clear" w:color="auto" w:fill="D9D9D9" w:themeFill="background1" w:themeFillShade="D9"/>
            <w:hideMark/>
          </w:tcPr>
          <w:p w:rsidR="00950A2D" w:rsidRPr="00950A2D" w:rsidRDefault="00950A2D" w:rsidP="00861B62">
            <w:pPr>
              <w:pStyle w:val="Textocuadroneg"/>
              <w:rPr>
                <w:rFonts w:ascii="Cambria" w:hAnsi="Cambria"/>
                <w:sz w:val="16"/>
                <w:szCs w:val="16"/>
              </w:rPr>
            </w:pPr>
            <w:r w:rsidRPr="00950A2D">
              <w:rPr>
                <w:rFonts w:ascii="Cambria" w:hAnsi="Cambria"/>
                <w:sz w:val="16"/>
                <w:szCs w:val="16"/>
              </w:rPr>
              <w:t xml:space="preserve">Denominación del </w:t>
            </w:r>
            <w:proofErr w:type="spellStart"/>
            <w:r w:rsidRPr="00950A2D">
              <w:rPr>
                <w:rFonts w:ascii="Cambria" w:hAnsi="Cambria"/>
                <w:sz w:val="16"/>
                <w:szCs w:val="16"/>
              </w:rPr>
              <w:t>Pp</w:t>
            </w:r>
            <w:proofErr w:type="spellEnd"/>
            <w:r w:rsidRPr="00950A2D">
              <w:rPr>
                <w:rFonts w:ascii="Cambria" w:hAnsi="Cambria"/>
                <w:sz w:val="16"/>
                <w:szCs w:val="16"/>
              </w:rPr>
              <w:t>:</w:t>
            </w:r>
          </w:p>
        </w:tc>
        <w:tc>
          <w:tcPr>
            <w:tcW w:w="5805" w:type="dxa"/>
            <w:shd w:val="clear" w:color="auto" w:fill="D9D9D9" w:themeFill="background1" w:themeFillShade="D9"/>
            <w:hideMark/>
          </w:tcPr>
          <w:p w:rsidR="00950A2D" w:rsidRPr="00950A2D" w:rsidRDefault="00943ED2" w:rsidP="00943ED2">
            <w:pPr>
              <w:pStyle w:val="Textocuadro"/>
              <w:jc w:val="both"/>
              <w:rPr>
                <w:rFonts w:ascii="Cambria" w:hAnsi="Cambria"/>
                <w:sz w:val="16"/>
                <w:szCs w:val="16"/>
              </w:rPr>
            </w:pPr>
            <w:r>
              <w:rPr>
                <w:rFonts w:ascii="Cambria" w:hAnsi="Cambria"/>
                <w:i/>
                <w:sz w:val="16"/>
                <w:szCs w:val="16"/>
              </w:rPr>
              <w:t>Atención a la salud</w:t>
            </w:r>
          </w:p>
        </w:tc>
      </w:tr>
      <w:tr w:rsidR="00950A2D" w:rsidRPr="00950A2D" w:rsidTr="00861B62">
        <w:trPr>
          <w:trHeight w:val="203"/>
          <w:jc w:val="center"/>
        </w:trPr>
        <w:tc>
          <w:tcPr>
            <w:tcW w:w="2656" w:type="dxa"/>
            <w:gridSpan w:val="4"/>
            <w:hideMark/>
          </w:tcPr>
          <w:p w:rsidR="00950A2D" w:rsidRPr="00950A2D" w:rsidRDefault="00950A2D" w:rsidP="00861B62">
            <w:pPr>
              <w:pStyle w:val="Textocuadroneg"/>
              <w:rPr>
                <w:rFonts w:ascii="Cambria" w:hAnsi="Cambria"/>
                <w:sz w:val="16"/>
                <w:szCs w:val="16"/>
              </w:rPr>
            </w:pPr>
            <w:r w:rsidRPr="00950A2D">
              <w:rPr>
                <w:rFonts w:ascii="Cambria" w:hAnsi="Cambria"/>
                <w:sz w:val="16"/>
                <w:szCs w:val="16"/>
              </w:rPr>
              <w:t xml:space="preserve">Unidad Administrativa </w:t>
            </w:r>
          </w:p>
        </w:tc>
        <w:tc>
          <w:tcPr>
            <w:tcW w:w="6834" w:type="dxa"/>
            <w:gridSpan w:val="2"/>
            <w:vAlign w:val="center"/>
            <w:hideMark/>
          </w:tcPr>
          <w:p w:rsidR="00950A2D" w:rsidRPr="00950A2D" w:rsidRDefault="00943ED2" w:rsidP="00943ED2">
            <w:pPr>
              <w:pStyle w:val="Textocuadro"/>
              <w:jc w:val="both"/>
              <w:rPr>
                <w:rFonts w:ascii="Cambria" w:hAnsi="Cambria"/>
                <w:sz w:val="16"/>
                <w:szCs w:val="16"/>
                <w:highlight w:val="yellow"/>
                <w:lang w:val="es-MX"/>
              </w:rPr>
            </w:pPr>
            <w:r>
              <w:rPr>
                <w:rFonts w:ascii="Cambria" w:hAnsi="Cambria"/>
                <w:i/>
                <w:sz w:val="16"/>
                <w:szCs w:val="16"/>
                <w:lang w:val="es-MX"/>
              </w:rPr>
              <w:t>Comisión Coordinadora de Institutos Nacionales de Salud y Hospitales de Alta Especialidad</w:t>
            </w:r>
          </w:p>
        </w:tc>
      </w:tr>
      <w:tr w:rsidR="00950A2D" w:rsidRPr="00950A2D" w:rsidTr="00861B62">
        <w:trPr>
          <w:gridBefore w:val="1"/>
          <w:wBefore w:w="42" w:type="dxa"/>
          <w:trHeight w:val="581"/>
          <w:jc w:val="center"/>
        </w:trPr>
        <w:tc>
          <w:tcPr>
            <w:tcW w:w="2614" w:type="dxa"/>
            <w:gridSpan w:val="3"/>
            <w:vAlign w:val="bottom"/>
            <w:hideMark/>
          </w:tcPr>
          <w:p w:rsidR="00950A2D" w:rsidRPr="00950A2D" w:rsidRDefault="00950A2D" w:rsidP="00861B62">
            <w:pPr>
              <w:pStyle w:val="Textocuadroneg"/>
              <w:rPr>
                <w:rFonts w:ascii="Cambria" w:hAnsi="Cambria"/>
                <w:sz w:val="16"/>
                <w:szCs w:val="16"/>
              </w:rPr>
            </w:pPr>
            <w:r w:rsidRPr="00950A2D">
              <w:rPr>
                <w:rFonts w:ascii="Cambria" w:hAnsi="Cambria"/>
                <w:sz w:val="16"/>
                <w:szCs w:val="16"/>
              </w:rPr>
              <w:t>Nombre del Responsable de esta Unidad</w:t>
            </w:r>
          </w:p>
        </w:tc>
        <w:tc>
          <w:tcPr>
            <w:tcW w:w="6834" w:type="dxa"/>
            <w:gridSpan w:val="2"/>
            <w:vAlign w:val="bottom"/>
            <w:hideMark/>
          </w:tcPr>
          <w:p w:rsidR="00950A2D" w:rsidRPr="00950A2D" w:rsidRDefault="00943ED2" w:rsidP="00943ED2">
            <w:pPr>
              <w:pStyle w:val="Textocuadro"/>
              <w:jc w:val="both"/>
              <w:rPr>
                <w:rFonts w:ascii="Cambria" w:hAnsi="Cambria"/>
                <w:sz w:val="16"/>
                <w:szCs w:val="16"/>
              </w:rPr>
            </w:pPr>
            <w:r>
              <w:rPr>
                <w:rFonts w:ascii="Cambria" w:hAnsi="Cambria"/>
                <w:i/>
                <w:sz w:val="16"/>
                <w:szCs w:val="16"/>
              </w:rPr>
              <w:t>Dr. Guillermo Miguel Ruiz Palacios y Santos</w:t>
            </w:r>
          </w:p>
        </w:tc>
      </w:tr>
      <w:tr w:rsidR="00950A2D" w:rsidRPr="00950A2D" w:rsidTr="00861B62">
        <w:trPr>
          <w:trHeight w:val="406"/>
          <w:jc w:val="center"/>
        </w:trPr>
        <w:tc>
          <w:tcPr>
            <w:tcW w:w="2656" w:type="dxa"/>
            <w:gridSpan w:val="4"/>
            <w:tcBorders>
              <w:top w:val="nil"/>
              <w:left w:val="nil"/>
              <w:bottom w:val="single" w:sz="4" w:space="0" w:color="auto"/>
              <w:right w:val="nil"/>
            </w:tcBorders>
            <w:shd w:val="clear" w:color="auto" w:fill="D9D9D9" w:themeFill="background1" w:themeFillShade="D9"/>
            <w:hideMark/>
          </w:tcPr>
          <w:p w:rsidR="00950A2D" w:rsidRPr="00950A2D" w:rsidRDefault="00950A2D" w:rsidP="00861B62">
            <w:pPr>
              <w:pStyle w:val="Textocuadroneg"/>
              <w:rPr>
                <w:rFonts w:ascii="Cambria" w:hAnsi="Cambria"/>
                <w:sz w:val="16"/>
                <w:szCs w:val="16"/>
              </w:rPr>
            </w:pPr>
            <w:r w:rsidRPr="00950A2D">
              <w:rPr>
                <w:rFonts w:ascii="Cambria" w:hAnsi="Cambria"/>
                <w:sz w:val="16"/>
                <w:szCs w:val="16"/>
              </w:rPr>
              <w:t>Tipo de Evaluación</w:t>
            </w:r>
          </w:p>
        </w:tc>
        <w:tc>
          <w:tcPr>
            <w:tcW w:w="6834" w:type="dxa"/>
            <w:gridSpan w:val="2"/>
            <w:tcBorders>
              <w:top w:val="nil"/>
              <w:left w:val="nil"/>
              <w:bottom w:val="single" w:sz="4" w:space="0" w:color="auto"/>
              <w:right w:val="nil"/>
            </w:tcBorders>
            <w:shd w:val="clear" w:color="auto" w:fill="D9D9D9" w:themeFill="background1" w:themeFillShade="D9"/>
            <w:vAlign w:val="center"/>
            <w:hideMark/>
          </w:tcPr>
          <w:p w:rsidR="00950A2D" w:rsidRPr="00950A2D" w:rsidRDefault="00943ED2" w:rsidP="00943ED2">
            <w:pPr>
              <w:pStyle w:val="Textocuadro"/>
              <w:jc w:val="both"/>
              <w:rPr>
                <w:rFonts w:ascii="Cambria" w:hAnsi="Cambria"/>
                <w:sz w:val="16"/>
                <w:szCs w:val="16"/>
              </w:rPr>
            </w:pPr>
            <w:r>
              <w:rPr>
                <w:rFonts w:ascii="Cambria" w:hAnsi="Cambria"/>
                <w:i/>
                <w:sz w:val="16"/>
                <w:szCs w:val="16"/>
              </w:rPr>
              <w:t>Evaluación de Consistencia y Resultados</w:t>
            </w:r>
          </w:p>
        </w:tc>
      </w:tr>
    </w:tbl>
    <w:p w:rsidR="00CB5500" w:rsidRDefault="00CB5500" w:rsidP="00950A2D">
      <w:pPr>
        <w:pStyle w:val="Cdetextonegrita"/>
        <w:rPr>
          <w:rFonts w:ascii="Cambria" w:hAnsi="Cambria"/>
          <w:szCs w:val="22"/>
        </w:rPr>
      </w:pPr>
    </w:p>
    <w:p w:rsidR="00950A2D" w:rsidRPr="00950A2D" w:rsidRDefault="00950A2D" w:rsidP="00950A2D">
      <w:pPr>
        <w:pStyle w:val="Cdetextonegrita"/>
        <w:rPr>
          <w:rFonts w:ascii="Cambria" w:hAnsi="Cambria"/>
          <w:b w:val="0"/>
          <w:szCs w:val="22"/>
        </w:rPr>
      </w:pPr>
      <w:r w:rsidRPr="00950A2D">
        <w:rPr>
          <w:rFonts w:ascii="Cambria" w:hAnsi="Cambria"/>
          <w:szCs w:val="22"/>
        </w:rPr>
        <w:t>Descripción del Programa</w:t>
      </w:r>
    </w:p>
    <w:p w:rsidR="008B18E4" w:rsidRDefault="00772FCA" w:rsidP="00772FCA">
      <w:pPr>
        <w:pStyle w:val="Cdetexto"/>
        <w:rPr>
          <w:rFonts w:ascii="Cambria" w:hAnsi="Cambria"/>
          <w:i/>
          <w:lang w:val="es-ES_tradnl"/>
        </w:rPr>
      </w:pPr>
      <w:r w:rsidRPr="00772FCA">
        <w:rPr>
          <w:rFonts w:ascii="Cambria" w:hAnsi="Cambria"/>
          <w:i/>
          <w:lang w:val="es-ES_tradnl"/>
        </w:rPr>
        <w:t xml:space="preserve">El Programa </w:t>
      </w:r>
      <w:r>
        <w:rPr>
          <w:rFonts w:ascii="Cambria" w:hAnsi="Cambria"/>
          <w:i/>
          <w:lang w:val="es-ES_tradnl"/>
        </w:rPr>
        <w:t xml:space="preserve">tiene como </w:t>
      </w:r>
      <w:r w:rsidRPr="00772FCA">
        <w:rPr>
          <w:rFonts w:ascii="Cambria" w:hAnsi="Cambria"/>
          <w:i/>
          <w:lang w:val="es-ES_tradnl"/>
        </w:rPr>
        <w:t xml:space="preserve">finalidad </w:t>
      </w:r>
      <w:r w:rsidR="008B18E4" w:rsidRPr="00772FCA">
        <w:rPr>
          <w:rFonts w:ascii="Cambria" w:hAnsi="Cambria"/>
          <w:i/>
          <w:lang w:val="es-ES_tradnl"/>
        </w:rPr>
        <w:t xml:space="preserve">proporcionar atención hospitalaria y ambulatoria de alta </w:t>
      </w:r>
      <w:r w:rsidR="00382024">
        <w:rPr>
          <w:rFonts w:ascii="Cambria" w:hAnsi="Cambria"/>
          <w:i/>
          <w:lang w:val="es-ES_tradnl"/>
        </w:rPr>
        <w:t xml:space="preserve">especialidad </w:t>
      </w:r>
      <w:r w:rsidR="008B18E4" w:rsidRPr="00772FCA">
        <w:rPr>
          <w:rFonts w:ascii="Cambria" w:hAnsi="Cambria"/>
          <w:i/>
          <w:lang w:val="es-ES_tradnl"/>
        </w:rPr>
        <w:t xml:space="preserve">a la población que lo solicite en las unidades médicas </w:t>
      </w:r>
      <w:r w:rsidR="008B18E4">
        <w:rPr>
          <w:rFonts w:ascii="Cambria" w:hAnsi="Cambria"/>
          <w:i/>
          <w:lang w:val="es-ES_tradnl"/>
        </w:rPr>
        <w:t>coordinadas</w:t>
      </w:r>
      <w:r w:rsidR="00382024">
        <w:rPr>
          <w:rFonts w:ascii="Cambria" w:hAnsi="Cambria"/>
          <w:i/>
          <w:lang w:val="es-ES_tradnl"/>
        </w:rPr>
        <w:t xml:space="preserve"> </w:t>
      </w:r>
      <w:r w:rsidR="008B18E4">
        <w:rPr>
          <w:rFonts w:ascii="Cambria" w:hAnsi="Cambria"/>
          <w:i/>
          <w:lang w:val="es-ES_tradnl"/>
        </w:rPr>
        <w:t xml:space="preserve">por </w:t>
      </w:r>
      <w:r w:rsidR="008B18E4" w:rsidRPr="00772FCA">
        <w:rPr>
          <w:rFonts w:ascii="Cambria" w:hAnsi="Cambria"/>
          <w:i/>
          <w:lang w:val="es-ES_tradnl"/>
        </w:rPr>
        <w:t>la Comisión Coordinadora de Institutos Nacionales de Salud y Hospitales de Alta Especialidad (CCINSHAE)</w:t>
      </w:r>
      <w:r w:rsidR="00382024">
        <w:rPr>
          <w:rFonts w:ascii="Cambria" w:hAnsi="Cambria"/>
          <w:i/>
          <w:lang w:val="es-ES_tradnl"/>
        </w:rPr>
        <w:t>.</w:t>
      </w:r>
    </w:p>
    <w:p w:rsidR="00382024" w:rsidRPr="00772FCA" w:rsidRDefault="00382024" w:rsidP="00382024">
      <w:pPr>
        <w:pStyle w:val="Cdetexto"/>
        <w:rPr>
          <w:rFonts w:ascii="Cambria" w:hAnsi="Cambria"/>
          <w:i/>
          <w:lang w:val="es-ES_tradnl"/>
        </w:rPr>
      </w:pPr>
      <w:r w:rsidRPr="00772FCA">
        <w:rPr>
          <w:rFonts w:ascii="Cambria" w:hAnsi="Cambria"/>
          <w:i/>
          <w:lang w:val="es-ES_tradnl"/>
        </w:rPr>
        <w:t>La operación del programa se realiza a través de la coordinación de entes públicos descentralizados en cumplimiento a la Ley Federal de Entidades Paraestatales</w:t>
      </w:r>
      <w:r w:rsidR="00140896">
        <w:rPr>
          <w:rFonts w:ascii="Cambria" w:hAnsi="Cambria"/>
          <w:i/>
          <w:lang w:val="es-ES_tradnl"/>
        </w:rPr>
        <w:t xml:space="preserve">. El </w:t>
      </w:r>
      <w:r w:rsidRPr="00772FCA">
        <w:rPr>
          <w:rFonts w:ascii="Cambria" w:hAnsi="Cambria"/>
          <w:i/>
          <w:lang w:val="es-ES_tradnl"/>
        </w:rPr>
        <w:t xml:space="preserve">fundamento normativo </w:t>
      </w:r>
      <w:r w:rsidR="00140896">
        <w:rPr>
          <w:rFonts w:ascii="Cambria" w:hAnsi="Cambria"/>
          <w:i/>
          <w:lang w:val="es-ES_tradnl"/>
        </w:rPr>
        <w:t xml:space="preserve">del Programa </w:t>
      </w:r>
      <w:r w:rsidRPr="00772FCA">
        <w:rPr>
          <w:rFonts w:ascii="Cambria" w:hAnsi="Cambria"/>
          <w:i/>
          <w:lang w:val="es-ES_tradnl"/>
        </w:rPr>
        <w:t xml:space="preserve">se origina en el Artículo 4º de la Constitución Política de los Estados Unidos Mexicanos en términos del derecho a la protección a la salud; </w:t>
      </w:r>
      <w:r w:rsidR="00764EAC">
        <w:rPr>
          <w:rFonts w:ascii="Cambria" w:hAnsi="Cambria"/>
          <w:i/>
          <w:lang w:val="es-ES_tradnl"/>
        </w:rPr>
        <w:t xml:space="preserve">así como </w:t>
      </w:r>
      <w:r w:rsidRPr="00772FCA">
        <w:rPr>
          <w:rFonts w:ascii="Cambria" w:hAnsi="Cambria"/>
          <w:i/>
          <w:lang w:val="es-ES_tradnl"/>
        </w:rPr>
        <w:t>en los Artículos 32, 33 y 77 bis</w:t>
      </w:r>
      <w:r>
        <w:rPr>
          <w:rFonts w:ascii="Cambria" w:hAnsi="Cambria"/>
          <w:i/>
          <w:lang w:val="es-ES_tradnl"/>
        </w:rPr>
        <w:t xml:space="preserve"> 5</w:t>
      </w:r>
      <w:r w:rsidRPr="00772FCA">
        <w:rPr>
          <w:rFonts w:ascii="Cambria" w:hAnsi="Cambria"/>
          <w:i/>
          <w:lang w:val="es-ES_tradnl"/>
        </w:rPr>
        <w:t>, de la Ley General de Salud</w:t>
      </w:r>
      <w:r w:rsidR="00764EAC">
        <w:rPr>
          <w:rFonts w:ascii="Cambria" w:hAnsi="Cambria"/>
          <w:i/>
          <w:lang w:val="es-ES_tradnl"/>
        </w:rPr>
        <w:t>.</w:t>
      </w:r>
      <w:r w:rsidRPr="00772FCA">
        <w:rPr>
          <w:rFonts w:ascii="Cambria" w:hAnsi="Cambria"/>
          <w:i/>
          <w:lang w:val="es-ES_tradnl"/>
        </w:rPr>
        <w:t xml:space="preserve"> </w:t>
      </w:r>
    </w:p>
    <w:p w:rsidR="00382024" w:rsidRDefault="00140896" w:rsidP="00772FCA">
      <w:pPr>
        <w:pStyle w:val="Cdetexto"/>
        <w:rPr>
          <w:rFonts w:ascii="Cambria" w:hAnsi="Cambria"/>
          <w:i/>
          <w:lang w:val="es-ES_tradnl"/>
        </w:rPr>
      </w:pPr>
      <w:r w:rsidRPr="00772FCA">
        <w:rPr>
          <w:rFonts w:ascii="Cambria" w:hAnsi="Cambria"/>
          <w:i/>
          <w:lang w:val="es-ES_tradnl"/>
        </w:rPr>
        <w:t>La vinculación del Programa con los ordenamientos superiores es directa; en particular, el E023, busca contribuir con la Meta número 2. México Incluyente del Plan Nacional de Desarrollo 2013-</w:t>
      </w:r>
      <w:r>
        <w:rPr>
          <w:rFonts w:ascii="Cambria" w:hAnsi="Cambria"/>
          <w:i/>
          <w:lang w:val="es-ES_tradnl"/>
        </w:rPr>
        <w:t> </w:t>
      </w:r>
      <w:proofErr w:type="gramStart"/>
      <w:r>
        <w:rPr>
          <w:rFonts w:ascii="Cambria" w:hAnsi="Cambria"/>
          <w:i/>
          <w:lang w:val="es-ES_tradnl"/>
        </w:rPr>
        <w:t>2</w:t>
      </w:r>
      <w:r w:rsidRPr="00772FCA">
        <w:rPr>
          <w:rFonts w:ascii="Cambria" w:hAnsi="Cambria"/>
          <w:i/>
          <w:lang w:val="es-ES_tradnl"/>
        </w:rPr>
        <w:t>018 ,</w:t>
      </w:r>
      <w:proofErr w:type="gramEnd"/>
      <w:r w:rsidRPr="00772FCA">
        <w:rPr>
          <w:rFonts w:ascii="Cambria" w:hAnsi="Cambria"/>
          <w:i/>
          <w:lang w:val="es-ES_tradnl"/>
        </w:rPr>
        <w:t xml:space="preserve"> en su objetivo 2.3 Asegurar el acceso a los servicios de salud. Así como, con el objetivo sectorial 2 del P</w:t>
      </w:r>
      <w:r>
        <w:rPr>
          <w:rFonts w:ascii="Cambria" w:hAnsi="Cambria"/>
          <w:i/>
          <w:lang w:val="es-ES_tradnl"/>
        </w:rPr>
        <w:t xml:space="preserve">rograma Sectorial de Salud </w:t>
      </w:r>
      <w:r w:rsidRPr="00772FCA">
        <w:rPr>
          <w:rFonts w:ascii="Cambria" w:hAnsi="Cambria"/>
          <w:i/>
          <w:lang w:val="es-ES_tradnl"/>
        </w:rPr>
        <w:t>“Asegurar el acceso efectivo a servicios de salud con calidad”</w:t>
      </w:r>
      <w:r>
        <w:rPr>
          <w:rFonts w:ascii="Cambria" w:hAnsi="Cambria"/>
          <w:i/>
          <w:lang w:val="es-ES_tradnl"/>
        </w:rPr>
        <w:t xml:space="preserve">. </w:t>
      </w:r>
    </w:p>
    <w:p w:rsidR="007E604A" w:rsidRDefault="00126694" w:rsidP="00772FCA">
      <w:pPr>
        <w:pStyle w:val="Cdetexto"/>
        <w:rPr>
          <w:rFonts w:ascii="Cambria" w:hAnsi="Cambria"/>
          <w:i/>
          <w:lang w:val="es-ES_tradnl"/>
        </w:rPr>
      </w:pPr>
      <w:r w:rsidRPr="00772FCA">
        <w:rPr>
          <w:rFonts w:ascii="Cambria" w:hAnsi="Cambria"/>
          <w:i/>
          <w:lang w:val="es-ES_tradnl"/>
        </w:rPr>
        <w:t xml:space="preserve">La cobertura del Programa no es nacional, se </w:t>
      </w:r>
      <w:r>
        <w:rPr>
          <w:rFonts w:ascii="Cambria" w:hAnsi="Cambria"/>
          <w:i/>
          <w:lang w:val="es-ES_tradnl"/>
        </w:rPr>
        <w:t xml:space="preserve">focaliza </w:t>
      </w:r>
      <w:r w:rsidRPr="00772FCA">
        <w:rPr>
          <w:rFonts w:ascii="Cambria" w:hAnsi="Cambria"/>
          <w:i/>
          <w:lang w:val="es-ES_tradnl"/>
        </w:rPr>
        <w:t>a las personas que acuden</w:t>
      </w:r>
      <w:r>
        <w:rPr>
          <w:rFonts w:ascii="Cambria" w:hAnsi="Cambria"/>
          <w:i/>
          <w:lang w:val="es-ES_tradnl"/>
        </w:rPr>
        <w:t xml:space="preserve"> a las unidades médicas de los Institutos Nacionales de Salud y Hospitales de Alta Especialidad. </w:t>
      </w:r>
      <w:r w:rsidR="000A0BEA">
        <w:rPr>
          <w:rFonts w:ascii="Cambria" w:hAnsi="Cambria"/>
          <w:i/>
          <w:lang w:val="es-ES_tradnl"/>
        </w:rPr>
        <w:t>La P</w:t>
      </w:r>
      <w:r w:rsidR="007E604A">
        <w:rPr>
          <w:rFonts w:ascii="Cambria" w:hAnsi="Cambria"/>
          <w:i/>
          <w:lang w:val="es-ES_tradnl"/>
        </w:rPr>
        <w:t>oblaci</w:t>
      </w:r>
      <w:r w:rsidR="000A0BEA">
        <w:rPr>
          <w:rFonts w:ascii="Cambria" w:hAnsi="Cambria"/>
          <w:i/>
          <w:lang w:val="es-ES_tradnl"/>
        </w:rPr>
        <w:t>ón P</w:t>
      </w:r>
      <w:r>
        <w:rPr>
          <w:rFonts w:ascii="Cambria" w:hAnsi="Cambria"/>
          <w:i/>
          <w:lang w:val="es-ES_tradnl"/>
        </w:rPr>
        <w:t>otencial</w:t>
      </w:r>
      <w:r w:rsidR="000A0BEA">
        <w:rPr>
          <w:rFonts w:ascii="Cambria" w:hAnsi="Cambria"/>
          <w:i/>
          <w:lang w:val="es-ES_tradnl"/>
        </w:rPr>
        <w:t xml:space="preserve"> </w:t>
      </w:r>
      <w:r w:rsidRPr="00772FCA">
        <w:rPr>
          <w:rFonts w:ascii="Cambria" w:hAnsi="Cambria"/>
          <w:i/>
          <w:lang w:val="es-ES_tradnl"/>
        </w:rPr>
        <w:t>se define como “Número de personas que podrían acudir a la institución para solicitar atención médica con base en su capacidad instalada y los pacientes atendidos en años previos (expedientes vigentes)”</w:t>
      </w:r>
      <w:r>
        <w:rPr>
          <w:rFonts w:ascii="Cambria" w:hAnsi="Cambria"/>
          <w:i/>
          <w:lang w:val="es-ES_tradnl"/>
        </w:rPr>
        <w:t xml:space="preserve">. </w:t>
      </w:r>
      <w:r w:rsidRPr="00772FCA">
        <w:rPr>
          <w:rFonts w:ascii="Cambria" w:hAnsi="Cambria"/>
          <w:i/>
          <w:lang w:val="es-ES_tradnl"/>
        </w:rPr>
        <w:t>La P</w:t>
      </w:r>
      <w:r w:rsidR="000A0BEA">
        <w:rPr>
          <w:rFonts w:ascii="Cambria" w:hAnsi="Cambria"/>
          <w:i/>
          <w:lang w:val="es-ES_tradnl"/>
        </w:rPr>
        <w:t xml:space="preserve">oblación </w:t>
      </w:r>
      <w:r w:rsidRPr="00772FCA">
        <w:rPr>
          <w:rFonts w:ascii="Cambria" w:hAnsi="Cambria"/>
          <w:i/>
          <w:lang w:val="es-ES_tradnl"/>
        </w:rPr>
        <w:t>O</w:t>
      </w:r>
      <w:r w:rsidR="000A0BEA">
        <w:rPr>
          <w:rFonts w:ascii="Cambria" w:hAnsi="Cambria"/>
          <w:i/>
          <w:lang w:val="es-ES_tradnl"/>
        </w:rPr>
        <w:t>bjetivo</w:t>
      </w:r>
      <w:r w:rsidRPr="00772FCA">
        <w:rPr>
          <w:rFonts w:ascii="Cambria" w:hAnsi="Cambria"/>
          <w:i/>
          <w:lang w:val="es-ES_tradnl"/>
        </w:rPr>
        <w:t xml:space="preserve"> se define como: “Número de personas posibles de atender en el año de reporte con el uso más eficiente y eficaz de los recursos humanos, materiales y tecnológicos disponibles en la institución”; se cuantifica mediante la estimación histórica o programación anual del grupo de atención. La P</w:t>
      </w:r>
      <w:r w:rsidR="000A0BEA">
        <w:rPr>
          <w:rFonts w:ascii="Cambria" w:hAnsi="Cambria"/>
          <w:i/>
          <w:lang w:val="es-ES_tradnl"/>
        </w:rPr>
        <w:t xml:space="preserve">oblación Atendida </w:t>
      </w:r>
      <w:r w:rsidRPr="00772FCA">
        <w:rPr>
          <w:rFonts w:ascii="Cambria" w:hAnsi="Cambria"/>
          <w:i/>
          <w:lang w:val="es-ES_tradnl"/>
        </w:rPr>
        <w:t>se define como el total de usuarios (diferentes) que fueron atendidos en la institución</w:t>
      </w:r>
      <w:r w:rsidR="000A0BEA">
        <w:rPr>
          <w:rFonts w:ascii="Cambria" w:hAnsi="Cambria"/>
          <w:i/>
          <w:lang w:val="es-ES_tradnl"/>
        </w:rPr>
        <w:t>.</w:t>
      </w:r>
    </w:p>
    <w:p w:rsidR="007E604A" w:rsidRPr="00772FCA" w:rsidRDefault="007E604A" w:rsidP="007E604A">
      <w:pPr>
        <w:pStyle w:val="Cdetexto"/>
        <w:rPr>
          <w:rFonts w:ascii="Cambria" w:hAnsi="Cambria"/>
          <w:i/>
          <w:lang w:val="es-ES_tradnl"/>
        </w:rPr>
      </w:pPr>
      <w:r w:rsidRPr="00772FCA">
        <w:rPr>
          <w:rFonts w:ascii="Cambria" w:hAnsi="Cambria"/>
          <w:i/>
          <w:lang w:val="es-ES_tradnl"/>
        </w:rPr>
        <w:t>De 2009 a 2013 la P</w:t>
      </w:r>
      <w:r w:rsidR="0042036E">
        <w:rPr>
          <w:rFonts w:ascii="Cambria" w:hAnsi="Cambria"/>
          <w:i/>
          <w:lang w:val="es-ES_tradnl"/>
        </w:rPr>
        <w:t xml:space="preserve">oblación Potencial </w:t>
      </w:r>
      <w:r w:rsidRPr="00772FCA">
        <w:rPr>
          <w:rFonts w:ascii="Cambria" w:hAnsi="Cambria"/>
          <w:i/>
          <w:lang w:val="es-ES_tradnl"/>
        </w:rPr>
        <w:t>tuvo un comportamiento ascendente, de 2</w:t>
      </w:r>
      <w:proofErr w:type="gramStart"/>
      <w:r w:rsidRPr="00772FCA">
        <w:rPr>
          <w:rFonts w:ascii="Cambria" w:hAnsi="Cambria"/>
          <w:i/>
          <w:lang w:val="es-ES_tradnl"/>
        </w:rPr>
        <w:t>,770,867</w:t>
      </w:r>
      <w:proofErr w:type="gramEnd"/>
      <w:r w:rsidRPr="00772FCA">
        <w:rPr>
          <w:rFonts w:ascii="Cambria" w:hAnsi="Cambria"/>
          <w:i/>
          <w:lang w:val="es-ES_tradnl"/>
        </w:rPr>
        <w:t xml:space="preserve"> en 2009, pasó a 3,291,823 de personas en 2013, lo que representó un</w:t>
      </w:r>
      <w:r w:rsidR="000A0BEA">
        <w:rPr>
          <w:rFonts w:ascii="Cambria" w:hAnsi="Cambria"/>
          <w:i/>
          <w:lang w:val="es-ES_tradnl"/>
        </w:rPr>
        <w:t xml:space="preserve"> incremento del 18.8 por ciento; </w:t>
      </w:r>
      <w:r w:rsidR="0042036E">
        <w:rPr>
          <w:rFonts w:ascii="Cambria" w:hAnsi="Cambria"/>
          <w:i/>
          <w:lang w:val="es-ES_tradnl"/>
        </w:rPr>
        <w:t xml:space="preserve">sin embargo </w:t>
      </w:r>
      <w:r w:rsidR="000A0BEA">
        <w:rPr>
          <w:rFonts w:ascii="Cambria" w:hAnsi="Cambria"/>
          <w:i/>
          <w:lang w:val="es-ES_tradnl"/>
        </w:rPr>
        <w:t xml:space="preserve">derivado de </w:t>
      </w:r>
      <w:r w:rsidR="0042036E">
        <w:rPr>
          <w:rFonts w:ascii="Cambria" w:hAnsi="Cambria"/>
          <w:i/>
          <w:lang w:val="es-ES_tradnl"/>
        </w:rPr>
        <w:t>una mejor identificación de la población potencial e</w:t>
      </w:r>
      <w:r w:rsidRPr="00772FCA">
        <w:rPr>
          <w:rFonts w:ascii="Cambria" w:hAnsi="Cambria"/>
          <w:i/>
          <w:lang w:val="es-ES_tradnl"/>
        </w:rPr>
        <w:t xml:space="preserve">n el periodo de 2013 a 2017 se presentó un decremento, de 3,291,823 a </w:t>
      </w:r>
      <w:r w:rsidRPr="00772FCA">
        <w:rPr>
          <w:rFonts w:ascii="Cambria" w:hAnsi="Cambria"/>
          <w:bCs/>
          <w:i/>
          <w:lang w:val="es-ES_tradnl"/>
        </w:rPr>
        <w:t xml:space="preserve">2,680,857 </w:t>
      </w:r>
      <w:r w:rsidRPr="00772FCA">
        <w:rPr>
          <w:rFonts w:ascii="Cambria" w:hAnsi="Cambria"/>
          <w:i/>
          <w:lang w:val="es-ES_tradnl"/>
        </w:rPr>
        <w:t>personas</w:t>
      </w:r>
      <w:r w:rsidR="0042036E">
        <w:rPr>
          <w:rFonts w:ascii="Cambria" w:hAnsi="Cambria"/>
          <w:i/>
          <w:lang w:val="es-ES_tradnl"/>
        </w:rPr>
        <w:t xml:space="preserve">. </w:t>
      </w:r>
      <w:r w:rsidRPr="00772FCA">
        <w:rPr>
          <w:rFonts w:ascii="Cambria" w:hAnsi="Cambria"/>
          <w:i/>
          <w:lang w:val="es-ES_tradnl"/>
        </w:rPr>
        <w:t>La P</w:t>
      </w:r>
      <w:r w:rsidR="0042036E">
        <w:rPr>
          <w:rFonts w:ascii="Cambria" w:hAnsi="Cambria"/>
          <w:i/>
          <w:lang w:val="es-ES_tradnl"/>
        </w:rPr>
        <w:t xml:space="preserve">oblación </w:t>
      </w:r>
      <w:r w:rsidRPr="00772FCA">
        <w:rPr>
          <w:rFonts w:ascii="Cambria" w:hAnsi="Cambria"/>
          <w:i/>
          <w:lang w:val="es-ES_tradnl"/>
        </w:rPr>
        <w:t>O</w:t>
      </w:r>
      <w:r w:rsidR="0042036E">
        <w:rPr>
          <w:rFonts w:ascii="Cambria" w:hAnsi="Cambria"/>
          <w:i/>
          <w:lang w:val="es-ES_tradnl"/>
        </w:rPr>
        <w:t>bjetivo</w:t>
      </w:r>
      <w:r w:rsidRPr="00772FCA">
        <w:rPr>
          <w:rFonts w:ascii="Cambria" w:hAnsi="Cambria"/>
          <w:i/>
          <w:lang w:val="es-ES_tradnl"/>
        </w:rPr>
        <w:t xml:space="preserve"> presentó un incremento sostenido de 1</w:t>
      </w:r>
      <w:proofErr w:type="gramStart"/>
      <w:r w:rsidRPr="00772FCA">
        <w:rPr>
          <w:rFonts w:ascii="Cambria" w:hAnsi="Cambria"/>
          <w:i/>
          <w:lang w:val="es-ES_tradnl"/>
        </w:rPr>
        <w:t>,388,224</w:t>
      </w:r>
      <w:proofErr w:type="gramEnd"/>
      <w:r w:rsidRPr="00772FCA">
        <w:rPr>
          <w:rFonts w:ascii="Cambria" w:hAnsi="Cambria"/>
          <w:i/>
          <w:lang w:val="es-ES_tradnl"/>
        </w:rPr>
        <w:t xml:space="preserve"> en 2009, pasaron a 1,806,878 personas en 2017. La P</w:t>
      </w:r>
      <w:r w:rsidR="0042036E">
        <w:rPr>
          <w:rFonts w:ascii="Cambria" w:hAnsi="Cambria"/>
          <w:i/>
          <w:lang w:val="es-ES_tradnl"/>
        </w:rPr>
        <w:t xml:space="preserve">oblación </w:t>
      </w:r>
      <w:r w:rsidRPr="00772FCA">
        <w:rPr>
          <w:rFonts w:ascii="Cambria" w:hAnsi="Cambria"/>
          <w:i/>
          <w:lang w:val="es-ES_tradnl"/>
        </w:rPr>
        <w:t>A</w:t>
      </w:r>
      <w:r w:rsidR="0042036E">
        <w:rPr>
          <w:rFonts w:ascii="Cambria" w:hAnsi="Cambria"/>
          <w:i/>
          <w:lang w:val="es-ES_tradnl"/>
        </w:rPr>
        <w:t>tendida</w:t>
      </w:r>
      <w:r w:rsidRPr="00772FCA">
        <w:rPr>
          <w:rFonts w:ascii="Cambria" w:hAnsi="Cambria"/>
          <w:i/>
          <w:lang w:val="es-ES_tradnl"/>
        </w:rPr>
        <w:t xml:space="preserve"> </w:t>
      </w:r>
      <w:r w:rsidR="0042036E">
        <w:rPr>
          <w:rFonts w:ascii="Cambria" w:hAnsi="Cambria"/>
          <w:i/>
          <w:lang w:val="es-ES_tradnl"/>
        </w:rPr>
        <w:t xml:space="preserve">paso de </w:t>
      </w:r>
      <w:r w:rsidRPr="00772FCA">
        <w:rPr>
          <w:rFonts w:ascii="Cambria" w:hAnsi="Cambria"/>
          <w:i/>
          <w:lang w:val="es-ES_tradnl"/>
        </w:rPr>
        <w:t>1</w:t>
      </w:r>
      <w:proofErr w:type="gramStart"/>
      <w:r w:rsidRPr="00772FCA">
        <w:rPr>
          <w:rFonts w:ascii="Cambria" w:hAnsi="Cambria"/>
          <w:i/>
          <w:lang w:val="es-ES_tradnl"/>
        </w:rPr>
        <w:t>,360,568</w:t>
      </w:r>
      <w:proofErr w:type="gramEnd"/>
      <w:r w:rsidRPr="00772FCA">
        <w:rPr>
          <w:rFonts w:ascii="Cambria" w:hAnsi="Cambria"/>
          <w:i/>
          <w:lang w:val="es-ES_tradnl"/>
        </w:rPr>
        <w:t xml:space="preserve"> en 2009</w:t>
      </w:r>
      <w:r w:rsidR="0042036E">
        <w:rPr>
          <w:rFonts w:ascii="Cambria" w:hAnsi="Cambria"/>
          <w:i/>
          <w:lang w:val="es-ES_tradnl"/>
        </w:rPr>
        <w:t xml:space="preserve"> a</w:t>
      </w:r>
      <w:r w:rsidRPr="00772FCA">
        <w:rPr>
          <w:rFonts w:ascii="Cambria" w:hAnsi="Cambria"/>
          <w:i/>
          <w:lang w:val="es-ES_tradnl"/>
        </w:rPr>
        <w:t xml:space="preserve"> </w:t>
      </w:r>
      <w:r w:rsidRPr="00772FCA">
        <w:rPr>
          <w:rFonts w:ascii="Cambria" w:hAnsi="Cambria"/>
          <w:bCs/>
          <w:i/>
          <w:lang w:val="es-ES_tradnl"/>
        </w:rPr>
        <w:t xml:space="preserve">1,644,919 </w:t>
      </w:r>
      <w:r w:rsidRPr="00772FCA">
        <w:rPr>
          <w:rFonts w:ascii="Cambria" w:hAnsi="Cambria"/>
          <w:i/>
          <w:lang w:val="es-ES_tradnl"/>
        </w:rPr>
        <w:t>personas en 2017, lo que representó un incremento de 20.8 por ciento. La cobertura de la población objetivo del Programa fue en promedio el 97.3 por ciento, en el periodo de análisis de 2009 a 2017</w:t>
      </w:r>
      <w:r w:rsidR="0042036E">
        <w:rPr>
          <w:rFonts w:ascii="Cambria" w:hAnsi="Cambria"/>
          <w:i/>
          <w:lang w:val="es-ES_tradnl"/>
        </w:rPr>
        <w:t>.</w:t>
      </w:r>
    </w:p>
    <w:p w:rsidR="00190968" w:rsidRPr="00950A2D" w:rsidRDefault="00190968" w:rsidP="00190968">
      <w:pPr>
        <w:pStyle w:val="Cdetexto"/>
        <w:rPr>
          <w:rFonts w:ascii="Cambria" w:hAnsi="Cambria"/>
          <w:szCs w:val="22"/>
        </w:rPr>
      </w:pPr>
      <w:r w:rsidRPr="00772FCA">
        <w:rPr>
          <w:rFonts w:ascii="Cambria" w:hAnsi="Cambria"/>
          <w:i/>
          <w:szCs w:val="22"/>
          <w:lang w:val="es-ES_tradnl"/>
        </w:rPr>
        <w:lastRenderedPageBreak/>
        <w:t>Respecto de las metas de los indicadores</w:t>
      </w:r>
      <w:r w:rsidR="0090054E">
        <w:rPr>
          <w:rFonts w:ascii="Cambria" w:hAnsi="Cambria"/>
          <w:i/>
          <w:szCs w:val="22"/>
          <w:lang w:val="es-ES_tradnl"/>
        </w:rPr>
        <w:t xml:space="preserve"> se presenta como área de oportunidad el mejorar la formulación de las metas ya que</w:t>
      </w:r>
      <w:r w:rsidRPr="00772FCA">
        <w:rPr>
          <w:rFonts w:ascii="Cambria" w:hAnsi="Cambria"/>
          <w:i/>
          <w:szCs w:val="22"/>
          <w:lang w:val="es-ES_tradnl"/>
        </w:rPr>
        <w:t xml:space="preserve"> </w:t>
      </w:r>
      <w:r w:rsidR="0090054E">
        <w:rPr>
          <w:rFonts w:ascii="Cambria" w:hAnsi="Cambria"/>
          <w:i/>
          <w:szCs w:val="22"/>
          <w:lang w:val="es-ES_tradnl"/>
        </w:rPr>
        <w:t xml:space="preserve">en algunos casos </w:t>
      </w:r>
      <w:r w:rsidRPr="00772FCA">
        <w:rPr>
          <w:rFonts w:ascii="Cambria" w:hAnsi="Cambria"/>
          <w:i/>
          <w:szCs w:val="22"/>
          <w:lang w:val="es-ES_tradnl"/>
        </w:rPr>
        <w:t>el valor registrado para la meta en 2017 fue menor con respecto a la línea base, con lo cual no es posible medir el desempeño del Programa</w:t>
      </w:r>
      <w:r w:rsidR="00994310">
        <w:rPr>
          <w:rFonts w:ascii="Cambria" w:hAnsi="Cambria"/>
          <w:i/>
          <w:szCs w:val="22"/>
          <w:lang w:val="es-ES_tradnl"/>
        </w:rPr>
        <w:t>:</w:t>
      </w:r>
      <w:r w:rsidRPr="00772FCA">
        <w:rPr>
          <w:rFonts w:ascii="Cambria" w:hAnsi="Cambria"/>
          <w:i/>
          <w:szCs w:val="22"/>
          <w:lang w:val="es-ES_tradnl"/>
        </w:rPr>
        <w:t xml:space="preserve"> El indicador de Fin “Porcentaje de pacientes referidos por instituciones públicas de salud a los que se les apertura expediente clínico institucional” establece su línea base en 31.6 por ciento y la meta en 24.7 por ciento</w:t>
      </w:r>
      <w:r w:rsidR="00994310">
        <w:rPr>
          <w:rFonts w:ascii="Cambria" w:hAnsi="Cambria"/>
          <w:i/>
          <w:szCs w:val="22"/>
          <w:lang w:val="es-ES_tradnl"/>
        </w:rPr>
        <w:t>; a</w:t>
      </w:r>
      <w:r w:rsidRPr="00772FCA">
        <w:rPr>
          <w:rFonts w:ascii="Cambria" w:hAnsi="Cambria"/>
          <w:i/>
          <w:szCs w:val="22"/>
          <w:lang w:val="es-ES_tradnl"/>
        </w:rPr>
        <w:t xml:space="preserve"> nivel Componente </w:t>
      </w:r>
      <w:r w:rsidR="0090054E">
        <w:rPr>
          <w:rFonts w:ascii="Cambria" w:hAnsi="Cambria"/>
          <w:i/>
          <w:szCs w:val="22"/>
          <w:lang w:val="es-ES_tradnl"/>
        </w:rPr>
        <w:t xml:space="preserve">el indicador </w:t>
      </w:r>
      <w:r w:rsidRPr="00772FCA">
        <w:rPr>
          <w:rFonts w:ascii="Cambria" w:hAnsi="Cambria"/>
          <w:i/>
          <w:szCs w:val="22"/>
          <w:lang w:val="es-ES_tradnl"/>
        </w:rPr>
        <w:t xml:space="preserve">“Porcentaje de procedimientos diagnósticos de alta especialidad realizados” </w:t>
      </w:r>
      <w:r w:rsidR="00994310">
        <w:rPr>
          <w:rFonts w:ascii="Cambria" w:hAnsi="Cambria"/>
          <w:i/>
          <w:szCs w:val="22"/>
          <w:lang w:val="es-ES_tradnl"/>
        </w:rPr>
        <w:t xml:space="preserve">tiene </w:t>
      </w:r>
      <w:r w:rsidRPr="00772FCA">
        <w:rPr>
          <w:rFonts w:ascii="Cambria" w:hAnsi="Cambria"/>
          <w:i/>
          <w:szCs w:val="22"/>
          <w:lang w:val="es-ES_tradnl"/>
        </w:rPr>
        <w:t>una línea base de 37.9 por ciento y una meta en 36.8</w:t>
      </w:r>
      <w:r w:rsidR="00994310">
        <w:rPr>
          <w:rFonts w:ascii="Cambria" w:hAnsi="Cambria"/>
          <w:i/>
          <w:szCs w:val="22"/>
          <w:lang w:val="es-ES_tradnl"/>
        </w:rPr>
        <w:t xml:space="preserve">, el </w:t>
      </w:r>
      <w:r w:rsidRPr="00772FCA">
        <w:rPr>
          <w:rFonts w:ascii="Cambria" w:hAnsi="Cambria"/>
          <w:i/>
          <w:szCs w:val="22"/>
          <w:lang w:val="es-ES_tradnl"/>
        </w:rPr>
        <w:t xml:space="preserve">“Porcentaje de procedimientos terapéuticos ambulatorios de alta especialidad realizados” con una línea base de 60.9 por ciento y meta </w:t>
      </w:r>
      <w:r w:rsidR="00994310">
        <w:rPr>
          <w:rFonts w:ascii="Cambria" w:hAnsi="Cambria"/>
          <w:i/>
          <w:szCs w:val="22"/>
          <w:lang w:val="es-ES_tradnl"/>
        </w:rPr>
        <w:t>de</w:t>
      </w:r>
      <w:r w:rsidRPr="00772FCA">
        <w:rPr>
          <w:rFonts w:ascii="Cambria" w:hAnsi="Cambria"/>
          <w:i/>
          <w:szCs w:val="22"/>
          <w:lang w:val="es-ES_tradnl"/>
        </w:rPr>
        <w:t xml:space="preserve"> 56.6</w:t>
      </w:r>
      <w:r w:rsidR="00994310">
        <w:rPr>
          <w:rFonts w:ascii="Cambria" w:hAnsi="Cambria"/>
          <w:i/>
          <w:szCs w:val="22"/>
          <w:lang w:val="es-ES_tradnl"/>
        </w:rPr>
        <w:t>,</w:t>
      </w:r>
      <w:r w:rsidRPr="00772FCA">
        <w:rPr>
          <w:rFonts w:ascii="Cambria" w:hAnsi="Cambria"/>
          <w:i/>
          <w:szCs w:val="22"/>
          <w:lang w:val="es-ES_tradnl"/>
        </w:rPr>
        <w:t xml:space="preserve"> “Porcentaje de usuarios con percepción de satisfacción de la calidad de la atención médica ambulatoria recibida superior a 80 puntos” </w:t>
      </w:r>
      <w:r w:rsidR="00994310">
        <w:rPr>
          <w:rFonts w:ascii="Cambria" w:hAnsi="Cambria"/>
          <w:i/>
          <w:szCs w:val="22"/>
          <w:lang w:val="es-ES_tradnl"/>
        </w:rPr>
        <w:t xml:space="preserve">con una </w:t>
      </w:r>
      <w:r w:rsidRPr="00772FCA">
        <w:rPr>
          <w:rFonts w:ascii="Cambria" w:hAnsi="Cambria"/>
          <w:i/>
          <w:szCs w:val="22"/>
          <w:lang w:val="es-ES_tradnl"/>
        </w:rPr>
        <w:t xml:space="preserve">línea base </w:t>
      </w:r>
      <w:r w:rsidR="00994310">
        <w:rPr>
          <w:rFonts w:ascii="Cambria" w:hAnsi="Cambria"/>
          <w:i/>
          <w:szCs w:val="22"/>
          <w:lang w:val="es-ES_tradnl"/>
        </w:rPr>
        <w:t>de</w:t>
      </w:r>
      <w:r w:rsidRPr="00772FCA">
        <w:rPr>
          <w:rFonts w:ascii="Cambria" w:hAnsi="Cambria"/>
          <w:i/>
          <w:szCs w:val="22"/>
          <w:lang w:val="es-ES_tradnl"/>
        </w:rPr>
        <w:t xml:space="preserve"> 87.4 por ciento y  meta 87.2. A nivel Actividad</w:t>
      </w:r>
      <w:r w:rsidR="00994310">
        <w:rPr>
          <w:rFonts w:ascii="Cambria" w:hAnsi="Cambria"/>
          <w:i/>
          <w:szCs w:val="22"/>
          <w:lang w:val="es-ES_tradnl"/>
        </w:rPr>
        <w:t xml:space="preserve"> la</w:t>
      </w:r>
      <w:r w:rsidRPr="00772FCA">
        <w:rPr>
          <w:rFonts w:ascii="Cambria" w:hAnsi="Cambria"/>
          <w:i/>
          <w:szCs w:val="22"/>
          <w:lang w:val="es-ES_tradnl"/>
        </w:rPr>
        <w:t xml:space="preserve"> “Tasa de infección nosocomial (por mil días de estancia hospitalaria)” con una línea base de 7.3 y la meta en 7.5 (descendente). </w:t>
      </w:r>
      <w:r w:rsidR="00994310">
        <w:rPr>
          <w:rFonts w:ascii="Cambria" w:hAnsi="Cambria"/>
          <w:i/>
          <w:szCs w:val="22"/>
          <w:lang w:val="es-ES_tradnl"/>
        </w:rPr>
        <w:t>En el caso de</w:t>
      </w:r>
      <w:r w:rsidRPr="00772FCA">
        <w:rPr>
          <w:rFonts w:ascii="Cambria" w:hAnsi="Cambria"/>
          <w:i/>
          <w:szCs w:val="22"/>
          <w:lang w:val="es-ES_tradnl"/>
        </w:rPr>
        <w:t>l sexto de los indicadores a nivel de Componente: “Porcentaje de auditorías clínicas incorporadas” la meta establecida es igual que la línea base: 100 por ciento</w:t>
      </w:r>
      <w:r w:rsidRPr="00950A2D">
        <w:rPr>
          <w:rFonts w:ascii="Cambria" w:hAnsi="Cambria"/>
          <w:szCs w:val="22"/>
        </w:rPr>
        <w:t>.</w:t>
      </w:r>
    </w:p>
    <w:p w:rsidR="00772FCA" w:rsidRPr="00190968" w:rsidRDefault="00673C7A" w:rsidP="00772FCA">
      <w:pPr>
        <w:pStyle w:val="Cdetexto"/>
        <w:rPr>
          <w:rFonts w:ascii="Cambria" w:hAnsi="Cambria"/>
          <w:i/>
        </w:rPr>
      </w:pPr>
      <w:r w:rsidRPr="00772FCA">
        <w:rPr>
          <w:rFonts w:ascii="Cambria" w:hAnsi="Cambria"/>
          <w:i/>
          <w:lang w:val="es-ES_tradnl"/>
        </w:rPr>
        <w:t xml:space="preserve">El presupuesto del Programa mayormente cuenta con recursos fiscales provenientes del Ramo 12 Salud. El presupuesto total ejercido fue de 20,830.12 </w:t>
      </w:r>
      <w:proofErr w:type="spellStart"/>
      <w:r w:rsidRPr="00772FCA">
        <w:rPr>
          <w:rFonts w:ascii="Cambria" w:hAnsi="Cambria"/>
          <w:i/>
          <w:lang w:val="es-ES_tradnl"/>
        </w:rPr>
        <w:t>mdp</w:t>
      </w:r>
      <w:proofErr w:type="spellEnd"/>
      <w:r w:rsidRPr="00772FCA">
        <w:rPr>
          <w:rFonts w:ascii="Cambria" w:hAnsi="Cambria"/>
          <w:i/>
          <w:lang w:val="es-ES_tradnl"/>
        </w:rPr>
        <w:t>; representó el 105.8 por ciento del monto original programado</w:t>
      </w:r>
      <w:r>
        <w:rPr>
          <w:rFonts w:ascii="Cambria" w:hAnsi="Cambria"/>
          <w:i/>
          <w:lang w:val="es-ES_tradnl"/>
        </w:rPr>
        <w:t>.</w:t>
      </w:r>
    </w:p>
    <w:p w:rsidR="00950A2D" w:rsidRPr="00950A2D" w:rsidRDefault="00950A2D" w:rsidP="00772FCA">
      <w:pPr>
        <w:pStyle w:val="Cdetexto"/>
        <w:rPr>
          <w:rFonts w:ascii="Cambria" w:hAnsi="Cambria"/>
          <w:szCs w:val="22"/>
        </w:rPr>
      </w:pPr>
    </w:p>
    <w:p w:rsidR="00950A2D" w:rsidRPr="00950A2D" w:rsidRDefault="00950A2D" w:rsidP="00950A2D">
      <w:pPr>
        <w:pStyle w:val="Cdetextonegrita"/>
        <w:rPr>
          <w:rFonts w:ascii="Cambria" w:hAnsi="Cambria"/>
          <w:szCs w:val="22"/>
        </w:rPr>
      </w:pPr>
      <w:r w:rsidRPr="00950A2D">
        <w:rPr>
          <w:rFonts w:ascii="Cambria" w:hAnsi="Cambria"/>
          <w:szCs w:val="22"/>
        </w:rPr>
        <w:t>Propósito de la Evaluación y Objetivos Principales</w:t>
      </w:r>
    </w:p>
    <w:p w:rsidR="00CB5500" w:rsidRDefault="00CB5500" w:rsidP="00EF70C3">
      <w:pPr>
        <w:spacing w:after="120"/>
        <w:rPr>
          <w:rFonts w:asciiTheme="majorHAnsi" w:hAnsiTheme="majorHAnsi"/>
          <w:i/>
          <w:lang w:val="es-ES_tradnl"/>
        </w:rPr>
      </w:pPr>
    </w:p>
    <w:p w:rsidR="00EF70C3" w:rsidRPr="00EF70C3" w:rsidRDefault="00EF70C3" w:rsidP="00EF70C3">
      <w:pPr>
        <w:spacing w:after="120"/>
        <w:rPr>
          <w:rFonts w:asciiTheme="majorHAnsi" w:hAnsiTheme="majorHAnsi"/>
          <w:i/>
          <w:lang w:val="es-ES_tradnl"/>
        </w:rPr>
      </w:pPr>
      <w:r w:rsidRPr="00EF70C3">
        <w:rPr>
          <w:rFonts w:asciiTheme="majorHAnsi" w:hAnsiTheme="majorHAnsi"/>
          <w:i/>
          <w:lang w:val="es-ES_tradnl"/>
        </w:rPr>
        <w:t>Objetivo general</w:t>
      </w:r>
    </w:p>
    <w:p w:rsidR="00EF70C3" w:rsidRPr="00EF70C3" w:rsidRDefault="00EF70C3" w:rsidP="00EF70C3">
      <w:pPr>
        <w:pStyle w:val="Cdetexto"/>
        <w:rPr>
          <w:rFonts w:ascii="Cambria" w:hAnsi="Cambria"/>
          <w:i/>
          <w:lang w:val="es-ES_tradnl"/>
        </w:rPr>
      </w:pPr>
      <w:r w:rsidRPr="00EF70C3">
        <w:rPr>
          <w:rFonts w:ascii="Cambria" w:hAnsi="Cambria"/>
          <w:i/>
          <w:lang w:val="es-ES_tradnl"/>
        </w:rPr>
        <w:t>Evaluar la consistencia y orientación a resultados del programa E023 Atención a la salud con la finalidad de proveer información que retroalimente su diseño, gestión y resultados.</w:t>
      </w:r>
    </w:p>
    <w:p w:rsidR="00CB5500" w:rsidRDefault="00CB5500" w:rsidP="00EF70C3">
      <w:pPr>
        <w:pStyle w:val="Cdetexto"/>
        <w:rPr>
          <w:rFonts w:ascii="Cambria" w:hAnsi="Cambria"/>
          <w:i/>
          <w:lang w:val="es-ES_tradnl"/>
        </w:rPr>
      </w:pPr>
    </w:p>
    <w:p w:rsidR="00EF70C3" w:rsidRPr="00EF70C3" w:rsidRDefault="00EF70C3" w:rsidP="00EF70C3">
      <w:pPr>
        <w:pStyle w:val="Cdetexto"/>
        <w:rPr>
          <w:rFonts w:ascii="Cambria" w:hAnsi="Cambria"/>
          <w:i/>
          <w:lang w:val="es-ES_tradnl"/>
        </w:rPr>
      </w:pPr>
      <w:r w:rsidRPr="00EF70C3">
        <w:rPr>
          <w:rFonts w:ascii="Cambria" w:hAnsi="Cambria"/>
          <w:i/>
          <w:lang w:val="es-ES_tradnl"/>
        </w:rPr>
        <w:t>Objetivos específicos</w:t>
      </w:r>
    </w:p>
    <w:p w:rsidR="00EF70C3" w:rsidRPr="00EF70C3" w:rsidRDefault="00EF70C3" w:rsidP="0042377D">
      <w:pPr>
        <w:pStyle w:val="Cdetexto"/>
        <w:ind w:left="284" w:hanging="283"/>
        <w:rPr>
          <w:rFonts w:ascii="Cambria" w:hAnsi="Cambria"/>
          <w:i/>
          <w:lang w:val="es-ES_tradnl"/>
        </w:rPr>
      </w:pPr>
      <w:r w:rsidRPr="00EF70C3">
        <w:rPr>
          <w:rFonts w:ascii="Cambria" w:hAnsi="Cambria"/>
          <w:i/>
          <w:lang w:val="es-ES_tradnl"/>
        </w:rPr>
        <w:t>•</w:t>
      </w:r>
      <w:r w:rsidRPr="00EF70C3">
        <w:rPr>
          <w:rFonts w:ascii="Cambria" w:hAnsi="Cambria"/>
          <w:i/>
          <w:lang w:val="es-ES_tradnl"/>
        </w:rPr>
        <w:tab/>
        <w:t>Analizar la lógica y congruencia en el diseño del programa, su vinculación con la planeación sectorial y nacional, la consistencia entre el diseño y la normatividad aplicable, así como las posibles complementariedades y/o coincidencias con otros programas federales;</w:t>
      </w:r>
    </w:p>
    <w:p w:rsidR="00EF70C3" w:rsidRPr="00EF70C3" w:rsidRDefault="00EF70C3" w:rsidP="0042377D">
      <w:pPr>
        <w:pStyle w:val="Cdetexto"/>
        <w:ind w:left="284" w:hanging="283"/>
        <w:rPr>
          <w:rFonts w:ascii="Cambria" w:hAnsi="Cambria"/>
          <w:i/>
          <w:lang w:val="es-ES_tradnl"/>
        </w:rPr>
      </w:pPr>
      <w:r w:rsidRPr="00EF70C3">
        <w:rPr>
          <w:rFonts w:ascii="Cambria" w:hAnsi="Cambria"/>
          <w:i/>
          <w:lang w:val="es-ES_tradnl"/>
        </w:rPr>
        <w:t>•</w:t>
      </w:r>
      <w:r w:rsidRPr="00EF70C3">
        <w:rPr>
          <w:rFonts w:ascii="Cambria" w:hAnsi="Cambria"/>
          <w:i/>
          <w:lang w:val="es-ES_tradnl"/>
        </w:rPr>
        <w:tab/>
        <w:t>Identificar si el programa cuenta con instrumentos de planeación y orientación hacia resultados;</w:t>
      </w:r>
    </w:p>
    <w:p w:rsidR="00EF70C3" w:rsidRPr="00EF70C3" w:rsidRDefault="00EF70C3" w:rsidP="0042377D">
      <w:pPr>
        <w:pStyle w:val="Cdetexto"/>
        <w:ind w:left="284" w:hanging="283"/>
        <w:rPr>
          <w:rFonts w:ascii="Cambria" w:hAnsi="Cambria"/>
          <w:i/>
          <w:lang w:val="es-ES_tradnl"/>
        </w:rPr>
      </w:pPr>
      <w:r w:rsidRPr="00EF70C3">
        <w:rPr>
          <w:rFonts w:ascii="Cambria" w:hAnsi="Cambria"/>
          <w:i/>
          <w:lang w:val="es-ES_tradnl"/>
        </w:rPr>
        <w:t>•</w:t>
      </w:r>
      <w:r w:rsidRPr="00EF70C3">
        <w:rPr>
          <w:rFonts w:ascii="Cambria" w:hAnsi="Cambria"/>
          <w:i/>
          <w:lang w:val="es-ES_tradnl"/>
        </w:rPr>
        <w:tab/>
        <w:t>Examinar si el programa ha definido una estrategia de cobertura de mediano y de largo plazo y los avances presentados en el ejercicio fiscal evaluado;</w:t>
      </w:r>
    </w:p>
    <w:p w:rsidR="00EF70C3" w:rsidRPr="00EF70C3" w:rsidRDefault="00EF70C3" w:rsidP="0042377D">
      <w:pPr>
        <w:pStyle w:val="Cdetexto"/>
        <w:ind w:left="284" w:hanging="283"/>
        <w:rPr>
          <w:rFonts w:ascii="Cambria" w:hAnsi="Cambria"/>
          <w:i/>
          <w:lang w:val="es-ES_tradnl"/>
        </w:rPr>
      </w:pPr>
      <w:r w:rsidRPr="00EF70C3">
        <w:rPr>
          <w:rFonts w:ascii="Cambria" w:hAnsi="Cambria"/>
          <w:i/>
          <w:lang w:val="es-ES_tradnl"/>
        </w:rPr>
        <w:t>•</w:t>
      </w:r>
      <w:r w:rsidRPr="00EF70C3">
        <w:rPr>
          <w:rFonts w:ascii="Cambria" w:hAnsi="Cambria"/>
          <w:i/>
          <w:lang w:val="es-ES_tradnl"/>
        </w:rPr>
        <w:tab/>
        <w:t>Analizar los principales procesos establecidos en las Reglas de Operación del Programa (ROP) o en la normatividad aplicable; así como los sistemas de información con los que cuenta el programa y sus mecanismos de rendición de cuentas;</w:t>
      </w:r>
    </w:p>
    <w:p w:rsidR="00EF70C3" w:rsidRPr="00EF70C3" w:rsidRDefault="00EF70C3" w:rsidP="0042377D">
      <w:pPr>
        <w:pStyle w:val="Cdetexto"/>
        <w:ind w:left="284" w:hanging="283"/>
        <w:rPr>
          <w:rFonts w:ascii="Cambria" w:hAnsi="Cambria"/>
          <w:i/>
          <w:lang w:val="es-ES_tradnl"/>
        </w:rPr>
      </w:pPr>
      <w:r w:rsidRPr="00EF70C3">
        <w:rPr>
          <w:rFonts w:ascii="Cambria" w:hAnsi="Cambria"/>
          <w:i/>
          <w:lang w:val="es-ES_tradnl"/>
        </w:rPr>
        <w:t>•</w:t>
      </w:r>
      <w:r w:rsidRPr="00EF70C3">
        <w:rPr>
          <w:rFonts w:ascii="Cambria" w:hAnsi="Cambria"/>
          <w:i/>
          <w:lang w:val="es-ES_tradnl"/>
        </w:rPr>
        <w:tab/>
        <w:t xml:space="preserve">Identificar si el programa cuenta con instrumentos que le permitan recabar información para medir el grado de satisfacción de los beneficiarios del programa y sus resultados, </w:t>
      </w:r>
    </w:p>
    <w:p w:rsidR="00EF70C3" w:rsidRDefault="00EF70C3" w:rsidP="0042377D">
      <w:pPr>
        <w:pStyle w:val="Cdetexto"/>
        <w:ind w:left="284" w:hanging="283"/>
        <w:rPr>
          <w:rFonts w:ascii="Cambria" w:hAnsi="Cambria"/>
          <w:i/>
          <w:lang w:val="es-ES_tradnl"/>
        </w:rPr>
      </w:pPr>
      <w:r w:rsidRPr="00EF70C3">
        <w:rPr>
          <w:rFonts w:ascii="Cambria" w:hAnsi="Cambria"/>
          <w:i/>
          <w:lang w:val="es-ES_tradnl"/>
        </w:rPr>
        <w:t>•</w:t>
      </w:r>
      <w:r w:rsidRPr="00EF70C3">
        <w:rPr>
          <w:rFonts w:ascii="Cambria" w:hAnsi="Cambria"/>
          <w:i/>
          <w:lang w:val="es-ES_tradnl"/>
        </w:rPr>
        <w:tab/>
        <w:t>Examinar los resultados del programa respecto a la atención del p</w:t>
      </w:r>
      <w:r w:rsidR="0042377D">
        <w:rPr>
          <w:rFonts w:ascii="Cambria" w:hAnsi="Cambria"/>
          <w:i/>
          <w:lang w:val="es-ES_tradnl"/>
        </w:rPr>
        <w:t>roblema para el que fue creado.</w:t>
      </w:r>
    </w:p>
    <w:p w:rsidR="00CB5500" w:rsidRPr="00EF70C3" w:rsidRDefault="00CB5500" w:rsidP="0042377D">
      <w:pPr>
        <w:pStyle w:val="Cdetexto"/>
        <w:ind w:left="284" w:hanging="283"/>
        <w:rPr>
          <w:rFonts w:ascii="Cambria" w:hAnsi="Cambria"/>
          <w:i/>
          <w:lang w:val="es-ES_tradnl"/>
        </w:rPr>
      </w:pPr>
    </w:p>
    <w:p w:rsidR="00950A2D" w:rsidRPr="00950A2D" w:rsidRDefault="00950A2D" w:rsidP="00950A2D">
      <w:pPr>
        <w:pStyle w:val="Cdetextonegrita"/>
        <w:rPr>
          <w:rFonts w:ascii="Cambria" w:hAnsi="Cambria"/>
          <w:b w:val="0"/>
          <w:szCs w:val="22"/>
        </w:rPr>
      </w:pPr>
      <w:r w:rsidRPr="00950A2D">
        <w:rPr>
          <w:rFonts w:ascii="Cambria" w:hAnsi="Cambria"/>
          <w:szCs w:val="22"/>
        </w:rPr>
        <w:lastRenderedPageBreak/>
        <w:t>Principales Hallazgos</w:t>
      </w:r>
    </w:p>
    <w:p w:rsidR="00CB5500" w:rsidRDefault="00CB5500" w:rsidP="00442C7B">
      <w:pPr>
        <w:pStyle w:val="Cdetexto"/>
        <w:rPr>
          <w:rFonts w:ascii="Cambria" w:hAnsi="Cambria"/>
          <w:b/>
          <w:bCs/>
          <w:sz w:val="20"/>
          <w:lang w:val="es-ES_tradnl"/>
        </w:rPr>
      </w:pPr>
      <w:bookmarkStart w:id="0" w:name="_Toc399561251"/>
    </w:p>
    <w:p w:rsidR="00442C7B" w:rsidRPr="00CB5500" w:rsidRDefault="00442C7B" w:rsidP="00442C7B">
      <w:pPr>
        <w:pStyle w:val="Cdetexto"/>
        <w:rPr>
          <w:rFonts w:ascii="Cambria" w:hAnsi="Cambria"/>
          <w:b/>
          <w:bCs/>
          <w:sz w:val="20"/>
          <w:lang w:val="es-ES_tradnl"/>
        </w:rPr>
      </w:pPr>
      <w:r w:rsidRPr="00CB5500">
        <w:rPr>
          <w:rFonts w:ascii="Cambria" w:hAnsi="Cambria"/>
          <w:b/>
          <w:bCs/>
          <w:sz w:val="20"/>
          <w:lang w:val="es-ES_tradnl"/>
        </w:rPr>
        <w:t>Valoración final del programa</w:t>
      </w:r>
      <w:bookmarkEnd w:id="0"/>
    </w:p>
    <w:tbl>
      <w:tblPr>
        <w:tblStyle w:val="Tablaconcuadrcula"/>
        <w:tblW w:w="0" w:type="auto"/>
        <w:tblLook w:val="04A0" w:firstRow="1" w:lastRow="0" w:firstColumn="1" w:lastColumn="0" w:noHBand="0" w:noVBand="1"/>
      </w:tblPr>
      <w:tblGrid>
        <w:gridCol w:w="2945"/>
        <w:gridCol w:w="938"/>
        <w:gridCol w:w="4945"/>
      </w:tblGrid>
      <w:tr w:rsidR="00442C7B" w:rsidRPr="00442C7B" w:rsidTr="00CB5500">
        <w:tc>
          <w:tcPr>
            <w:tcW w:w="2945" w:type="dxa"/>
            <w:tcBorders>
              <w:top w:val="single" w:sz="4" w:space="0" w:color="auto"/>
            </w:tcBorders>
            <w:shd w:val="clear" w:color="auto" w:fill="D9D9D9" w:themeFill="background1" w:themeFillShade="D9"/>
            <w:vAlign w:val="center"/>
          </w:tcPr>
          <w:p w:rsidR="00442C7B" w:rsidRPr="00CB5500" w:rsidRDefault="00442C7B" w:rsidP="00CB5500">
            <w:pPr>
              <w:pStyle w:val="Cdetexto"/>
              <w:jc w:val="center"/>
              <w:rPr>
                <w:rFonts w:ascii="Cambria" w:hAnsi="Cambria"/>
                <w:b/>
                <w:color w:val="000000" w:themeColor="text1"/>
                <w:lang w:val="es-ES_tradnl"/>
              </w:rPr>
            </w:pPr>
            <w:r w:rsidRPr="00CB5500">
              <w:rPr>
                <w:rFonts w:ascii="Cambria" w:hAnsi="Cambria"/>
                <w:b/>
                <w:color w:val="000000" w:themeColor="text1"/>
                <w:lang w:val="es-ES_tradnl"/>
              </w:rPr>
              <w:t>Tema</w:t>
            </w:r>
          </w:p>
        </w:tc>
        <w:tc>
          <w:tcPr>
            <w:tcW w:w="938" w:type="dxa"/>
            <w:tcBorders>
              <w:top w:val="single" w:sz="4" w:space="0" w:color="auto"/>
            </w:tcBorders>
            <w:shd w:val="clear" w:color="auto" w:fill="D9D9D9" w:themeFill="background1" w:themeFillShade="D9"/>
            <w:vAlign w:val="center"/>
          </w:tcPr>
          <w:p w:rsidR="00442C7B" w:rsidRPr="00CB5500" w:rsidRDefault="00442C7B" w:rsidP="00CB5500">
            <w:pPr>
              <w:pStyle w:val="Cdetexto"/>
              <w:jc w:val="center"/>
              <w:rPr>
                <w:rFonts w:ascii="Cambria" w:hAnsi="Cambria"/>
                <w:b/>
                <w:color w:val="000000" w:themeColor="text1"/>
                <w:lang w:val="es-ES_tradnl"/>
              </w:rPr>
            </w:pPr>
            <w:r w:rsidRPr="00CB5500">
              <w:rPr>
                <w:rFonts w:ascii="Cambria" w:hAnsi="Cambria"/>
                <w:b/>
                <w:color w:val="000000" w:themeColor="text1"/>
                <w:lang w:val="es-ES_tradnl"/>
              </w:rPr>
              <w:t>Nivel</w:t>
            </w:r>
          </w:p>
        </w:tc>
        <w:tc>
          <w:tcPr>
            <w:tcW w:w="4945" w:type="dxa"/>
            <w:tcBorders>
              <w:top w:val="single" w:sz="4" w:space="0" w:color="auto"/>
            </w:tcBorders>
            <w:shd w:val="clear" w:color="auto" w:fill="D9D9D9" w:themeFill="background1" w:themeFillShade="D9"/>
            <w:vAlign w:val="center"/>
          </w:tcPr>
          <w:p w:rsidR="00442C7B" w:rsidRPr="00CB5500" w:rsidRDefault="00442C7B" w:rsidP="00CB5500">
            <w:pPr>
              <w:pStyle w:val="Cdetexto"/>
              <w:jc w:val="center"/>
              <w:rPr>
                <w:rFonts w:ascii="Cambria" w:hAnsi="Cambria"/>
                <w:b/>
                <w:color w:val="000000" w:themeColor="text1"/>
                <w:lang w:val="es-ES_tradnl"/>
              </w:rPr>
            </w:pPr>
            <w:r w:rsidRPr="00CB5500">
              <w:rPr>
                <w:rFonts w:ascii="Cambria" w:hAnsi="Cambria"/>
                <w:b/>
                <w:color w:val="000000" w:themeColor="text1"/>
                <w:lang w:val="es-ES_tradnl"/>
              </w:rPr>
              <w:t>Justificación</w:t>
            </w:r>
          </w:p>
        </w:tc>
      </w:tr>
      <w:tr w:rsidR="00442C7B" w:rsidRPr="00442C7B" w:rsidTr="00CB5500">
        <w:tc>
          <w:tcPr>
            <w:tcW w:w="2945" w:type="dxa"/>
            <w:vAlign w:val="center"/>
          </w:tcPr>
          <w:p w:rsidR="00442C7B" w:rsidRPr="00CB5500" w:rsidRDefault="00442C7B" w:rsidP="00442C7B">
            <w:pPr>
              <w:pStyle w:val="Cdetexto"/>
              <w:rPr>
                <w:rFonts w:ascii="Cambria" w:hAnsi="Cambria"/>
                <w:lang w:val="es-ES_tradnl"/>
              </w:rPr>
            </w:pPr>
            <w:r w:rsidRPr="00CB5500">
              <w:rPr>
                <w:rFonts w:ascii="Cambria" w:hAnsi="Cambria"/>
                <w:lang w:val="es-ES_tradnl"/>
              </w:rPr>
              <w:t>Diseño</w:t>
            </w:r>
          </w:p>
        </w:tc>
        <w:tc>
          <w:tcPr>
            <w:tcW w:w="938" w:type="dxa"/>
            <w:vAlign w:val="center"/>
          </w:tcPr>
          <w:p w:rsidR="00442C7B" w:rsidRPr="00CB5500" w:rsidRDefault="00442C7B" w:rsidP="00442C7B">
            <w:pPr>
              <w:pStyle w:val="Cdetexto"/>
              <w:rPr>
                <w:rFonts w:ascii="Cambria" w:hAnsi="Cambria"/>
                <w:lang w:val="es-ES_tradnl"/>
              </w:rPr>
            </w:pPr>
            <w:r w:rsidRPr="00CB5500">
              <w:rPr>
                <w:rFonts w:ascii="Cambria" w:hAnsi="Cambria"/>
                <w:lang w:val="es-ES_tradnl"/>
              </w:rPr>
              <w:t>2.250</w:t>
            </w:r>
          </w:p>
        </w:tc>
        <w:tc>
          <w:tcPr>
            <w:tcW w:w="4945" w:type="dxa"/>
          </w:tcPr>
          <w:p w:rsidR="00CB5500" w:rsidRDefault="00442C7B" w:rsidP="00442C7B">
            <w:pPr>
              <w:pStyle w:val="Cdetexto"/>
              <w:rPr>
                <w:rFonts w:ascii="Cambria" w:hAnsi="Cambria"/>
                <w:lang w:val="es-ES_tradnl"/>
              </w:rPr>
            </w:pPr>
            <w:r w:rsidRPr="00CB5500">
              <w:rPr>
                <w:rFonts w:ascii="Cambria" w:hAnsi="Cambria"/>
                <w:lang w:val="es-ES_tradnl"/>
              </w:rPr>
              <w:t>Inadecuado diagnóstico del Programa;</w:t>
            </w:r>
          </w:p>
          <w:p w:rsidR="00CB5500" w:rsidRDefault="00CB5500" w:rsidP="00CB5500">
            <w:pPr>
              <w:pStyle w:val="Cdetexto"/>
              <w:rPr>
                <w:rFonts w:ascii="Cambria" w:hAnsi="Cambria"/>
                <w:lang w:val="es-ES_tradnl"/>
              </w:rPr>
            </w:pPr>
            <w:r>
              <w:rPr>
                <w:rFonts w:ascii="Cambria" w:hAnsi="Cambria"/>
                <w:lang w:val="es-ES_tradnl"/>
              </w:rPr>
              <w:t>A</w:t>
            </w:r>
            <w:r w:rsidR="00442C7B" w:rsidRPr="00CB5500">
              <w:rPr>
                <w:rFonts w:ascii="Cambria" w:hAnsi="Cambria"/>
                <w:lang w:val="es-ES_tradnl"/>
              </w:rPr>
              <w:t xml:space="preserve">usencia de una metodología para la cuantificación de las poblaciones potencial, objetivo y atendida; </w:t>
            </w:r>
          </w:p>
          <w:p w:rsidR="00442C7B" w:rsidRPr="00CB5500" w:rsidRDefault="00442C7B" w:rsidP="00CB5500">
            <w:pPr>
              <w:pStyle w:val="Cdetexto"/>
              <w:rPr>
                <w:rFonts w:ascii="Cambria" w:hAnsi="Cambria"/>
                <w:lang w:val="es-ES_tradnl"/>
              </w:rPr>
            </w:pPr>
            <w:r w:rsidRPr="00CB5500">
              <w:rPr>
                <w:rFonts w:ascii="Cambria" w:hAnsi="Cambria"/>
                <w:lang w:val="es-ES_tradnl"/>
              </w:rPr>
              <w:t>Metas inadecuadas.</w:t>
            </w:r>
          </w:p>
        </w:tc>
      </w:tr>
      <w:tr w:rsidR="00442C7B" w:rsidRPr="00442C7B" w:rsidTr="00CB5500">
        <w:tc>
          <w:tcPr>
            <w:tcW w:w="2945" w:type="dxa"/>
            <w:vAlign w:val="center"/>
          </w:tcPr>
          <w:p w:rsidR="00442C7B" w:rsidRPr="00CB5500" w:rsidRDefault="00442C7B" w:rsidP="00442C7B">
            <w:pPr>
              <w:pStyle w:val="Cdetexto"/>
              <w:rPr>
                <w:rFonts w:ascii="Cambria" w:hAnsi="Cambria"/>
                <w:lang w:val="es-ES_tradnl"/>
              </w:rPr>
            </w:pPr>
            <w:r w:rsidRPr="00CB5500">
              <w:rPr>
                <w:rFonts w:ascii="Cambria" w:hAnsi="Cambria"/>
                <w:lang w:val="es-ES_tradnl"/>
              </w:rPr>
              <w:t>Planeación y Orientación a Resultados</w:t>
            </w:r>
          </w:p>
        </w:tc>
        <w:tc>
          <w:tcPr>
            <w:tcW w:w="938" w:type="dxa"/>
            <w:vAlign w:val="center"/>
          </w:tcPr>
          <w:p w:rsidR="00442C7B" w:rsidRPr="00CB5500" w:rsidRDefault="00442C7B" w:rsidP="00442C7B">
            <w:pPr>
              <w:pStyle w:val="Cdetexto"/>
              <w:rPr>
                <w:rFonts w:ascii="Cambria" w:hAnsi="Cambria"/>
                <w:lang w:val="es-ES_tradnl"/>
              </w:rPr>
            </w:pPr>
            <w:r w:rsidRPr="00CB5500">
              <w:rPr>
                <w:rFonts w:ascii="Cambria" w:hAnsi="Cambria"/>
                <w:lang w:val="es-ES_tradnl"/>
              </w:rPr>
              <w:t>3.333</w:t>
            </w:r>
          </w:p>
        </w:tc>
        <w:tc>
          <w:tcPr>
            <w:tcW w:w="4945" w:type="dxa"/>
          </w:tcPr>
          <w:p w:rsidR="00442C7B" w:rsidRPr="00CB5500" w:rsidRDefault="00442C7B" w:rsidP="00442C7B">
            <w:pPr>
              <w:pStyle w:val="Cdetexto"/>
              <w:rPr>
                <w:rFonts w:ascii="Cambria" w:hAnsi="Cambria"/>
                <w:lang w:val="es-ES_tradnl"/>
              </w:rPr>
            </w:pPr>
            <w:r w:rsidRPr="00CB5500">
              <w:rPr>
                <w:rFonts w:ascii="Cambria" w:hAnsi="Cambria"/>
                <w:lang w:val="es-ES_tradnl"/>
              </w:rPr>
              <w:t>Carencia de un plan estratégico y de programación anual consensuada</w:t>
            </w:r>
          </w:p>
        </w:tc>
      </w:tr>
      <w:tr w:rsidR="00442C7B" w:rsidRPr="00442C7B" w:rsidTr="00CB5500">
        <w:tc>
          <w:tcPr>
            <w:tcW w:w="2945" w:type="dxa"/>
            <w:vAlign w:val="center"/>
          </w:tcPr>
          <w:p w:rsidR="00442C7B" w:rsidRPr="00CB5500" w:rsidRDefault="00442C7B" w:rsidP="00442C7B">
            <w:pPr>
              <w:pStyle w:val="Cdetexto"/>
              <w:rPr>
                <w:rFonts w:ascii="Cambria" w:hAnsi="Cambria"/>
                <w:lang w:val="es-ES_tradnl"/>
              </w:rPr>
            </w:pPr>
            <w:r w:rsidRPr="00CB5500">
              <w:rPr>
                <w:rFonts w:ascii="Cambria" w:hAnsi="Cambria"/>
                <w:lang w:val="es-ES_tradnl"/>
              </w:rPr>
              <w:t>Cobertura y Focalización</w:t>
            </w:r>
          </w:p>
        </w:tc>
        <w:tc>
          <w:tcPr>
            <w:tcW w:w="938" w:type="dxa"/>
            <w:vAlign w:val="center"/>
          </w:tcPr>
          <w:p w:rsidR="00442C7B" w:rsidRPr="00CB5500" w:rsidRDefault="00442C7B" w:rsidP="00442C7B">
            <w:pPr>
              <w:pStyle w:val="Cdetexto"/>
              <w:rPr>
                <w:rFonts w:ascii="Cambria" w:hAnsi="Cambria"/>
                <w:lang w:val="es-ES_tradnl"/>
              </w:rPr>
            </w:pPr>
            <w:r w:rsidRPr="00CB5500">
              <w:rPr>
                <w:rFonts w:ascii="Cambria" w:hAnsi="Cambria"/>
                <w:lang w:val="es-ES_tradnl"/>
              </w:rPr>
              <w:t>2.000</w:t>
            </w:r>
          </w:p>
        </w:tc>
        <w:tc>
          <w:tcPr>
            <w:tcW w:w="4945" w:type="dxa"/>
          </w:tcPr>
          <w:p w:rsidR="00442C7B" w:rsidRPr="00CB5500" w:rsidRDefault="00442C7B" w:rsidP="00442C7B">
            <w:pPr>
              <w:pStyle w:val="Cdetexto"/>
              <w:rPr>
                <w:rFonts w:ascii="Cambria" w:hAnsi="Cambria"/>
                <w:lang w:val="es-ES_tradnl"/>
              </w:rPr>
            </w:pPr>
            <w:r w:rsidRPr="00CB5500">
              <w:rPr>
                <w:rFonts w:ascii="Cambria" w:hAnsi="Cambria"/>
                <w:lang w:val="es-ES_tradnl"/>
              </w:rPr>
              <w:t>Carencia de una estrategia de cobertura para atender a su población objetivo, con metas definidas y carencia de mecanismos para identificar la población objetivo.</w:t>
            </w:r>
          </w:p>
        </w:tc>
      </w:tr>
      <w:tr w:rsidR="00442C7B" w:rsidRPr="00442C7B" w:rsidTr="00CB5500">
        <w:tc>
          <w:tcPr>
            <w:tcW w:w="2945" w:type="dxa"/>
            <w:vAlign w:val="center"/>
          </w:tcPr>
          <w:p w:rsidR="00442C7B" w:rsidRPr="00CB5500" w:rsidRDefault="00442C7B" w:rsidP="00442C7B">
            <w:pPr>
              <w:pStyle w:val="Cdetexto"/>
              <w:rPr>
                <w:rFonts w:ascii="Cambria" w:hAnsi="Cambria"/>
                <w:lang w:val="es-ES_tradnl"/>
              </w:rPr>
            </w:pPr>
            <w:r w:rsidRPr="00CB5500">
              <w:rPr>
                <w:rFonts w:ascii="Cambria" w:hAnsi="Cambria"/>
                <w:lang w:val="es-ES_tradnl"/>
              </w:rPr>
              <w:t>Operación</w:t>
            </w:r>
          </w:p>
        </w:tc>
        <w:tc>
          <w:tcPr>
            <w:tcW w:w="938" w:type="dxa"/>
            <w:vAlign w:val="center"/>
          </w:tcPr>
          <w:p w:rsidR="00442C7B" w:rsidRPr="00CB5500" w:rsidRDefault="00442C7B" w:rsidP="00442C7B">
            <w:pPr>
              <w:pStyle w:val="Cdetexto"/>
              <w:rPr>
                <w:rFonts w:ascii="Cambria" w:hAnsi="Cambria"/>
                <w:lang w:val="es-ES_tradnl"/>
              </w:rPr>
            </w:pPr>
            <w:r w:rsidRPr="00CB5500">
              <w:rPr>
                <w:rFonts w:ascii="Cambria" w:hAnsi="Cambria"/>
                <w:lang w:val="es-ES_tradnl"/>
              </w:rPr>
              <w:t>1.333</w:t>
            </w:r>
          </w:p>
        </w:tc>
        <w:tc>
          <w:tcPr>
            <w:tcW w:w="4945" w:type="dxa"/>
          </w:tcPr>
          <w:p w:rsidR="00CB5500" w:rsidRDefault="00442C7B" w:rsidP="00442C7B">
            <w:pPr>
              <w:pStyle w:val="Cdetexto"/>
              <w:rPr>
                <w:rFonts w:ascii="Cambria" w:hAnsi="Cambria"/>
                <w:lang w:val="es-ES_tradnl"/>
              </w:rPr>
            </w:pPr>
            <w:r w:rsidRPr="00CB5500">
              <w:rPr>
                <w:rFonts w:ascii="Cambria" w:hAnsi="Cambria"/>
                <w:lang w:val="es-ES_tradnl"/>
              </w:rPr>
              <w:t xml:space="preserve">Ausencia de un sistema de información único para conocer la demanda total de apoyos del Programa; </w:t>
            </w:r>
          </w:p>
          <w:p w:rsidR="00442C7B" w:rsidRPr="00CB5500" w:rsidRDefault="00442C7B" w:rsidP="00442C7B">
            <w:pPr>
              <w:pStyle w:val="Cdetexto"/>
              <w:rPr>
                <w:rFonts w:ascii="Cambria" w:hAnsi="Cambria"/>
                <w:lang w:val="es-ES_tradnl"/>
              </w:rPr>
            </w:pPr>
            <w:r w:rsidRPr="00CB5500">
              <w:rPr>
                <w:rFonts w:ascii="Cambria" w:hAnsi="Cambria"/>
                <w:lang w:val="es-ES_tradnl"/>
              </w:rPr>
              <w:t>Procedimientos incompletos o inexistentes para recibir, registrar y dar trámite a solicitudes, la selección de beneficiarios, otorgar los apoyo</w:t>
            </w:r>
            <w:r w:rsidR="00CB5500">
              <w:rPr>
                <w:rFonts w:ascii="Cambria" w:hAnsi="Cambria"/>
                <w:lang w:val="es-ES_tradnl"/>
              </w:rPr>
              <w:t>s</w:t>
            </w:r>
            <w:r w:rsidRPr="00CB5500">
              <w:rPr>
                <w:rFonts w:ascii="Cambria" w:hAnsi="Cambria"/>
                <w:lang w:val="es-ES_tradnl"/>
              </w:rPr>
              <w:t>, y ejecución de acciones y de sus mecanismos documentados de verificación.</w:t>
            </w:r>
          </w:p>
        </w:tc>
      </w:tr>
      <w:tr w:rsidR="00442C7B" w:rsidRPr="00442C7B" w:rsidTr="00CB5500">
        <w:tc>
          <w:tcPr>
            <w:tcW w:w="2945" w:type="dxa"/>
            <w:vAlign w:val="center"/>
          </w:tcPr>
          <w:p w:rsidR="00442C7B" w:rsidRPr="00CB5500" w:rsidRDefault="00442C7B" w:rsidP="00442C7B">
            <w:pPr>
              <w:pStyle w:val="Cdetexto"/>
              <w:rPr>
                <w:rFonts w:ascii="Cambria" w:hAnsi="Cambria"/>
                <w:lang w:val="es-ES_tradnl"/>
              </w:rPr>
            </w:pPr>
            <w:r w:rsidRPr="00CB5500">
              <w:rPr>
                <w:rFonts w:ascii="Cambria" w:hAnsi="Cambria"/>
                <w:lang w:val="es-ES_tradnl"/>
              </w:rPr>
              <w:t>Percepción de la Población Atendida</w:t>
            </w:r>
          </w:p>
        </w:tc>
        <w:tc>
          <w:tcPr>
            <w:tcW w:w="938" w:type="dxa"/>
            <w:vAlign w:val="center"/>
          </w:tcPr>
          <w:p w:rsidR="00442C7B" w:rsidRPr="00CB5500" w:rsidRDefault="00442C7B" w:rsidP="00442C7B">
            <w:pPr>
              <w:pStyle w:val="Cdetexto"/>
              <w:rPr>
                <w:rFonts w:ascii="Cambria" w:hAnsi="Cambria"/>
                <w:lang w:val="es-ES_tradnl"/>
              </w:rPr>
            </w:pPr>
            <w:r w:rsidRPr="00CB5500">
              <w:rPr>
                <w:rFonts w:ascii="Cambria" w:hAnsi="Cambria"/>
                <w:lang w:val="es-ES_tradnl"/>
              </w:rPr>
              <w:t xml:space="preserve">4.000 </w:t>
            </w:r>
          </w:p>
        </w:tc>
        <w:tc>
          <w:tcPr>
            <w:tcW w:w="4945" w:type="dxa"/>
          </w:tcPr>
          <w:p w:rsidR="00442C7B" w:rsidRPr="00CB5500" w:rsidRDefault="00442C7B" w:rsidP="00442C7B">
            <w:pPr>
              <w:pStyle w:val="Cdetexto"/>
              <w:rPr>
                <w:rFonts w:ascii="Cambria" w:hAnsi="Cambria"/>
                <w:lang w:val="es-ES_tradnl"/>
              </w:rPr>
            </w:pPr>
            <w:r w:rsidRPr="00CB5500">
              <w:rPr>
                <w:rFonts w:ascii="Cambria" w:hAnsi="Cambria"/>
                <w:lang w:val="es-ES_tradnl"/>
              </w:rPr>
              <w:t>Adecuados instrumentos y proceso de aplicación para medir el grado de satisfacción de la población atendida.</w:t>
            </w:r>
          </w:p>
        </w:tc>
      </w:tr>
      <w:tr w:rsidR="00442C7B" w:rsidRPr="00442C7B" w:rsidTr="00CB5500">
        <w:tc>
          <w:tcPr>
            <w:tcW w:w="2945" w:type="dxa"/>
            <w:tcBorders>
              <w:bottom w:val="single" w:sz="4" w:space="0" w:color="auto"/>
            </w:tcBorders>
            <w:vAlign w:val="center"/>
          </w:tcPr>
          <w:p w:rsidR="00442C7B" w:rsidRPr="00CB5500" w:rsidRDefault="00442C7B" w:rsidP="00442C7B">
            <w:pPr>
              <w:pStyle w:val="Cdetexto"/>
              <w:rPr>
                <w:rFonts w:ascii="Cambria" w:hAnsi="Cambria"/>
                <w:lang w:val="es-ES_tradnl"/>
              </w:rPr>
            </w:pPr>
            <w:r w:rsidRPr="00CB5500">
              <w:rPr>
                <w:rFonts w:ascii="Cambria" w:hAnsi="Cambria"/>
                <w:lang w:val="es-ES_tradnl"/>
              </w:rPr>
              <w:t>Medición de Resultados</w:t>
            </w:r>
          </w:p>
        </w:tc>
        <w:tc>
          <w:tcPr>
            <w:tcW w:w="938" w:type="dxa"/>
            <w:tcBorders>
              <w:bottom w:val="single" w:sz="4" w:space="0" w:color="auto"/>
            </w:tcBorders>
            <w:vAlign w:val="center"/>
          </w:tcPr>
          <w:p w:rsidR="00442C7B" w:rsidRPr="00CB5500" w:rsidRDefault="00442C7B" w:rsidP="00442C7B">
            <w:pPr>
              <w:pStyle w:val="Cdetexto"/>
              <w:rPr>
                <w:rFonts w:ascii="Cambria" w:hAnsi="Cambria"/>
                <w:lang w:val="es-ES_tradnl"/>
              </w:rPr>
            </w:pPr>
            <w:r w:rsidRPr="00CB5500">
              <w:rPr>
                <w:rFonts w:ascii="Cambria" w:hAnsi="Cambria"/>
                <w:lang w:val="es-ES_tradnl"/>
              </w:rPr>
              <w:t>0.800</w:t>
            </w:r>
          </w:p>
        </w:tc>
        <w:tc>
          <w:tcPr>
            <w:tcW w:w="4945" w:type="dxa"/>
            <w:tcBorders>
              <w:bottom w:val="single" w:sz="4" w:space="0" w:color="auto"/>
            </w:tcBorders>
          </w:tcPr>
          <w:p w:rsidR="00442C7B" w:rsidRPr="00CB5500" w:rsidRDefault="00442C7B" w:rsidP="00442C7B">
            <w:pPr>
              <w:pStyle w:val="Cdetexto"/>
              <w:rPr>
                <w:rFonts w:ascii="Cambria" w:hAnsi="Cambria"/>
                <w:lang w:val="es-ES_tradnl"/>
              </w:rPr>
            </w:pPr>
            <w:r w:rsidRPr="00CB5500">
              <w:rPr>
                <w:rFonts w:ascii="Cambria" w:hAnsi="Cambria"/>
                <w:lang w:val="es-ES_tradnl"/>
              </w:rPr>
              <w:t>No se dispone de información de estudios o evaluaciones nacionales e internacionales que muestran impacto de programas similares; Ausencia de evaluaciones de impacto del programa.</w:t>
            </w:r>
          </w:p>
        </w:tc>
      </w:tr>
      <w:tr w:rsidR="00442C7B" w:rsidRPr="00442C7B" w:rsidTr="00CB5500">
        <w:tc>
          <w:tcPr>
            <w:tcW w:w="2945" w:type="dxa"/>
            <w:tcBorders>
              <w:bottom w:val="single" w:sz="4" w:space="0" w:color="auto"/>
            </w:tcBorders>
            <w:vAlign w:val="center"/>
          </w:tcPr>
          <w:p w:rsidR="00442C7B" w:rsidRPr="00CB5500" w:rsidRDefault="00442C7B" w:rsidP="00442C7B">
            <w:pPr>
              <w:pStyle w:val="Cdetexto"/>
              <w:rPr>
                <w:rFonts w:ascii="Cambria" w:hAnsi="Cambria"/>
                <w:lang w:val="es-ES_tradnl"/>
              </w:rPr>
            </w:pPr>
            <w:r w:rsidRPr="00CB5500">
              <w:rPr>
                <w:rFonts w:ascii="Cambria" w:hAnsi="Cambria"/>
                <w:lang w:val="es-ES_tradnl"/>
              </w:rPr>
              <w:t>Valoración final</w:t>
            </w:r>
          </w:p>
        </w:tc>
        <w:tc>
          <w:tcPr>
            <w:tcW w:w="938" w:type="dxa"/>
            <w:tcBorders>
              <w:bottom w:val="single" w:sz="4" w:space="0" w:color="auto"/>
            </w:tcBorders>
            <w:vAlign w:val="center"/>
          </w:tcPr>
          <w:p w:rsidR="00442C7B" w:rsidRPr="00CB5500" w:rsidRDefault="00442C7B" w:rsidP="00442C7B">
            <w:pPr>
              <w:pStyle w:val="Cdetexto"/>
              <w:rPr>
                <w:rFonts w:ascii="Cambria" w:hAnsi="Cambria"/>
                <w:lang w:val="es-ES_tradnl"/>
              </w:rPr>
            </w:pPr>
            <w:r w:rsidRPr="00CB5500">
              <w:rPr>
                <w:rFonts w:ascii="Cambria" w:hAnsi="Cambria"/>
                <w:lang w:val="es-ES_tradnl"/>
              </w:rPr>
              <w:t>2.286</w:t>
            </w:r>
          </w:p>
        </w:tc>
        <w:tc>
          <w:tcPr>
            <w:tcW w:w="4945" w:type="dxa"/>
            <w:tcBorders>
              <w:bottom w:val="single" w:sz="4" w:space="0" w:color="auto"/>
            </w:tcBorders>
          </w:tcPr>
          <w:p w:rsidR="00442C7B" w:rsidRPr="00CB5500" w:rsidRDefault="00442C7B" w:rsidP="00442C7B">
            <w:pPr>
              <w:pStyle w:val="Cdetexto"/>
              <w:rPr>
                <w:rFonts w:ascii="Cambria" w:hAnsi="Cambria"/>
                <w:lang w:val="es-ES_tradnl"/>
              </w:rPr>
            </w:pPr>
          </w:p>
        </w:tc>
      </w:tr>
    </w:tbl>
    <w:p w:rsidR="00442C7B" w:rsidRDefault="00442C7B" w:rsidP="00950A2D">
      <w:pPr>
        <w:pStyle w:val="Cdetexto"/>
        <w:rPr>
          <w:rFonts w:ascii="Cambria" w:hAnsi="Cambria"/>
          <w:szCs w:val="22"/>
        </w:rPr>
      </w:pPr>
    </w:p>
    <w:p w:rsidR="00950A2D" w:rsidRPr="00950A2D" w:rsidRDefault="00950A2D" w:rsidP="00950A2D">
      <w:pPr>
        <w:pStyle w:val="Cdetextonegrita"/>
        <w:rPr>
          <w:rFonts w:ascii="Cambria" w:hAnsi="Cambria"/>
          <w:b w:val="0"/>
          <w:szCs w:val="22"/>
        </w:rPr>
      </w:pPr>
      <w:r w:rsidRPr="00950A2D">
        <w:rPr>
          <w:rFonts w:ascii="Cambria" w:hAnsi="Cambria"/>
          <w:szCs w:val="22"/>
        </w:rPr>
        <w:t>Principales Recomendaciones</w:t>
      </w:r>
    </w:p>
    <w:p w:rsidR="00063383" w:rsidRPr="00F66A92" w:rsidRDefault="00063383" w:rsidP="00950A2D">
      <w:pPr>
        <w:pStyle w:val="Cdetexto"/>
        <w:rPr>
          <w:rFonts w:asciiTheme="majorHAnsi" w:hAnsiTheme="majorHAnsi"/>
          <w:b/>
          <w:i/>
          <w:szCs w:val="22"/>
        </w:rPr>
      </w:pPr>
      <w:r w:rsidRPr="00224EA9">
        <w:rPr>
          <w:rFonts w:asciiTheme="majorHAnsi" w:hAnsiTheme="majorHAnsi"/>
          <w:b/>
          <w:i/>
          <w:lang w:val="es-ES_tradnl"/>
        </w:rPr>
        <w:t>Diseño</w:t>
      </w:r>
    </w:p>
    <w:p w:rsidR="00F66A92" w:rsidRPr="00F66A92" w:rsidRDefault="00F66A92" w:rsidP="00F66A92">
      <w:pPr>
        <w:pStyle w:val="Cdetexto"/>
        <w:ind w:left="284"/>
        <w:rPr>
          <w:rFonts w:asciiTheme="majorHAnsi" w:hAnsiTheme="majorHAnsi"/>
          <w:i/>
          <w:lang w:val="es-ES_tradnl"/>
        </w:rPr>
      </w:pPr>
      <w:r w:rsidRPr="00F66A92">
        <w:rPr>
          <w:rFonts w:asciiTheme="majorHAnsi" w:hAnsiTheme="majorHAnsi"/>
          <w:i/>
          <w:lang w:val="es-ES_tradnl" w:eastAsia="es-MX"/>
        </w:rPr>
        <w:t>Inadecuado diagnóstico del Programa</w:t>
      </w:r>
    </w:p>
    <w:p w:rsidR="00063383" w:rsidRDefault="00063383" w:rsidP="00224EA9">
      <w:pPr>
        <w:pStyle w:val="Cdetexto"/>
        <w:numPr>
          <w:ilvl w:val="0"/>
          <w:numId w:val="9"/>
        </w:numPr>
        <w:rPr>
          <w:rFonts w:ascii="Cambria" w:hAnsi="Cambria"/>
          <w:i/>
          <w:lang w:val="es-ES_tradnl"/>
        </w:rPr>
      </w:pPr>
      <w:r w:rsidRPr="00F66A92">
        <w:rPr>
          <w:rFonts w:asciiTheme="majorHAnsi" w:hAnsiTheme="majorHAnsi"/>
          <w:i/>
          <w:lang w:val="es-ES_tradnl"/>
        </w:rPr>
        <w:t>Elaborar</w:t>
      </w:r>
      <w:r w:rsidR="00224EA9" w:rsidRPr="00F66A92">
        <w:rPr>
          <w:rFonts w:asciiTheme="majorHAnsi" w:hAnsiTheme="majorHAnsi"/>
          <w:i/>
          <w:lang w:val="es-ES_tradnl"/>
        </w:rPr>
        <w:t xml:space="preserve"> el </w:t>
      </w:r>
      <w:r w:rsidRPr="00F66A92">
        <w:rPr>
          <w:rFonts w:asciiTheme="majorHAnsi" w:hAnsiTheme="majorHAnsi"/>
          <w:i/>
          <w:lang w:val="es-ES_tradnl"/>
        </w:rPr>
        <w:t xml:space="preserve">Diagnóstico del Programa con base en los Elementos Mínimos establecidos por </w:t>
      </w:r>
      <w:r w:rsidRPr="00063383">
        <w:rPr>
          <w:rFonts w:ascii="Cambria" w:hAnsi="Cambria"/>
          <w:i/>
          <w:lang w:val="es-ES_tradnl"/>
        </w:rPr>
        <w:t>el CONEVAL</w:t>
      </w:r>
      <w:r w:rsidR="00224EA9">
        <w:rPr>
          <w:rFonts w:ascii="Cambria" w:hAnsi="Cambria"/>
          <w:i/>
          <w:lang w:val="es-ES_tradnl"/>
        </w:rPr>
        <w:t xml:space="preserve"> para la creación de programas presupuestarios nuevos, incorporando al mismo la metodología para la determinación poblacional y su cuantificación, así como el análisis de la cobertura. </w:t>
      </w:r>
    </w:p>
    <w:p w:rsidR="0065531E" w:rsidRDefault="0065531E" w:rsidP="00950A2D">
      <w:pPr>
        <w:pStyle w:val="Cdetexto"/>
        <w:rPr>
          <w:rFonts w:ascii="Cambria" w:hAnsi="Cambria"/>
          <w:b/>
          <w:i/>
          <w:szCs w:val="22"/>
          <w:lang w:val="es-ES_tradnl"/>
        </w:rPr>
      </w:pPr>
      <w:r w:rsidRPr="002A1B8F">
        <w:rPr>
          <w:rFonts w:ascii="Cambria" w:hAnsi="Cambria"/>
          <w:b/>
          <w:i/>
          <w:szCs w:val="22"/>
          <w:lang w:val="es-ES_tradnl"/>
        </w:rPr>
        <w:t>Planeación y Orientación a Resultados</w:t>
      </w:r>
    </w:p>
    <w:p w:rsidR="00F66A92" w:rsidRPr="00F66A92" w:rsidRDefault="00F66A92" w:rsidP="00F66A92">
      <w:pPr>
        <w:pStyle w:val="Cdetexto"/>
        <w:ind w:left="284"/>
        <w:rPr>
          <w:rFonts w:asciiTheme="majorHAnsi" w:hAnsiTheme="majorHAnsi"/>
          <w:i/>
          <w:lang w:val="es-ES_tradnl"/>
        </w:rPr>
      </w:pPr>
      <w:r>
        <w:rPr>
          <w:rFonts w:asciiTheme="majorHAnsi" w:hAnsiTheme="majorHAnsi"/>
          <w:i/>
          <w:lang w:val="es-ES_tradnl" w:eastAsia="es-MX"/>
        </w:rPr>
        <w:t>Carencia de un plan estratégico y de programación anual consensuada</w:t>
      </w:r>
    </w:p>
    <w:p w:rsidR="0065531E" w:rsidRPr="002A1B8F" w:rsidRDefault="0065531E" w:rsidP="00C903BB">
      <w:pPr>
        <w:pStyle w:val="Cdetexto"/>
        <w:numPr>
          <w:ilvl w:val="0"/>
          <w:numId w:val="9"/>
        </w:numPr>
        <w:rPr>
          <w:rFonts w:ascii="Cambria" w:hAnsi="Cambria"/>
          <w:i/>
          <w:szCs w:val="22"/>
        </w:rPr>
      </w:pPr>
      <w:r w:rsidRPr="002A1B8F">
        <w:rPr>
          <w:rFonts w:ascii="Cambria" w:hAnsi="Cambria"/>
          <w:i/>
          <w:szCs w:val="22"/>
          <w:lang w:val="es-ES_tradnl"/>
        </w:rPr>
        <w:t xml:space="preserve">Realizar, un ejercicio de planeación estratégica con el personal del Programa, para analizar la visión de futuro de la CCINSHAE y del Programa; el diagnóstico situacional; los </w:t>
      </w:r>
      <w:r w:rsidRPr="002A1B8F">
        <w:rPr>
          <w:rFonts w:ascii="Cambria" w:hAnsi="Cambria"/>
          <w:i/>
          <w:szCs w:val="22"/>
          <w:lang w:val="es-ES_tradnl"/>
        </w:rPr>
        <w:lastRenderedPageBreak/>
        <w:t xml:space="preserve">objetivos, estrategias e indicadores; el curso de acción y recursos; identificar elementos para implementar un sistema de monitoreo y evaluación. </w:t>
      </w:r>
    </w:p>
    <w:p w:rsidR="0065531E" w:rsidRPr="002A1B8F" w:rsidRDefault="0065531E" w:rsidP="00950A2D">
      <w:pPr>
        <w:pStyle w:val="Cdetexto"/>
        <w:rPr>
          <w:rFonts w:ascii="Cambria" w:hAnsi="Cambria"/>
          <w:b/>
          <w:i/>
          <w:szCs w:val="22"/>
        </w:rPr>
      </w:pPr>
      <w:r w:rsidRPr="002A1B8F">
        <w:rPr>
          <w:rFonts w:ascii="Cambria" w:hAnsi="Cambria"/>
          <w:b/>
          <w:i/>
          <w:szCs w:val="22"/>
          <w:lang w:val="es-ES_tradnl"/>
        </w:rPr>
        <w:t>Cobertura y Focalización</w:t>
      </w:r>
    </w:p>
    <w:p w:rsidR="00F66A92" w:rsidRPr="00F66A92" w:rsidRDefault="00F66A92" w:rsidP="00F66A92">
      <w:pPr>
        <w:pStyle w:val="Cdetexto"/>
        <w:ind w:left="426"/>
        <w:rPr>
          <w:rFonts w:asciiTheme="majorHAnsi" w:hAnsiTheme="majorHAnsi"/>
          <w:i/>
          <w:lang w:val="es-ES_tradnl"/>
        </w:rPr>
      </w:pPr>
      <w:r>
        <w:rPr>
          <w:rFonts w:asciiTheme="majorHAnsi" w:hAnsiTheme="majorHAnsi"/>
          <w:i/>
          <w:lang w:val="es-ES_tradnl" w:eastAsia="es-MX"/>
        </w:rPr>
        <w:t>Carencia de una estrategia de cobertura para atender a su población objetivo, con metas definidas</w:t>
      </w:r>
    </w:p>
    <w:p w:rsidR="0065531E" w:rsidRDefault="0065531E" w:rsidP="002A1B8F">
      <w:pPr>
        <w:pStyle w:val="Cdetexto"/>
        <w:numPr>
          <w:ilvl w:val="0"/>
          <w:numId w:val="9"/>
        </w:numPr>
        <w:rPr>
          <w:rFonts w:ascii="Cambria" w:hAnsi="Cambria"/>
          <w:i/>
          <w:szCs w:val="22"/>
        </w:rPr>
      </w:pPr>
      <w:r w:rsidRPr="0065531E">
        <w:rPr>
          <w:rFonts w:ascii="Cambria" w:hAnsi="Cambria"/>
          <w:i/>
          <w:szCs w:val="22"/>
          <w:lang w:val="es-ES_tradnl"/>
        </w:rPr>
        <w:t>Adecuar una metodología de cuantificación de las poblaciones y actualizar la estimación de las poblaciones potencial y objetivo para contar con la base poblacional que se planea atender</w:t>
      </w:r>
      <w:r w:rsidR="002A1B8F">
        <w:rPr>
          <w:rFonts w:ascii="Cambria" w:hAnsi="Cambria"/>
          <w:i/>
          <w:szCs w:val="22"/>
          <w:lang w:val="es-ES_tradnl"/>
        </w:rPr>
        <w:t xml:space="preserve"> </w:t>
      </w:r>
      <w:r w:rsidR="002A1B8F" w:rsidRPr="0065531E">
        <w:rPr>
          <w:rFonts w:ascii="Cambria" w:hAnsi="Cambria"/>
          <w:i/>
          <w:szCs w:val="22"/>
          <w:lang w:val="es-ES_tradnl"/>
        </w:rPr>
        <w:t xml:space="preserve">que </w:t>
      </w:r>
      <w:r w:rsidR="00944611">
        <w:rPr>
          <w:rFonts w:ascii="Cambria" w:hAnsi="Cambria"/>
          <w:i/>
          <w:szCs w:val="22"/>
          <w:lang w:val="es-ES_tradnl"/>
        </w:rPr>
        <w:t xml:space="preserve">contemple </w:t>
      </w:r>
      <w:r w:rsidR="002A1B8F" w:rsidRPr="0065531E">
        <w:rPr>
          <w:rFonts w:ascii="Cambria" w:hAnsi="Cambria"/>
          <w:i/>
          <w:szCs w:val="22"/>
          <w:lang w:val="es-ES_tradnl"/>
        </w:rPr>
        <w:t>los métodos de selección, priorización o depuración, las fuentes de información y los sistemas de información que son utilizados para este fin</w:t>
      </w:r>
      <w:r w:rsidRPr="0065531E">
        <w:rPr>
          <w:rFonts w:ascii="Cambria" w:hAnsi="Cambria"/>
          <w:i/>
          <w:szCs w:val="22"/>
          <w:lang w:val="es-ES_tradnl"/>
        </w:rPr>
        <w:t xml:space="preserve">, que incluya escenarios de mediano y largo plazos y se relacione con la disponibilidad presupuestal. </w:t>
      </w:r>
    </w:p>
    <w:p w:rsidR="0065531E" w:rsidRDefault="00B06B46" w:rsidP="00950A2D">
      <w:pPr>
        <w:pStyle w:val="Cdetexto"/>
        <w:rPr>
          <w:rFonts w:ascii="Cambria" w:hAnsi="Cambria"/>
          <w:b/>
          <w:i/>
          <w:szCs w:val="22"/>
          <w:lang w:val="es-ES_tradnl"/>
        </w:rPr>
      </w:pPr>
      <w:r w:rsidRPr="002A1B8F">
        <w:rPr>
          <w:rFonts w:ascii="Cambria" w:hAnsi="Cambria"/>
          <w:b/>
          <w:i/>
          <w:szCs w:val="22"/>
          <w:lang w:val="es-ES_tradnl"/>
        </w:rPr>
        <w:t>Operación</w:t>
      </w:r>
    </w:p>
    <w:p w:rsidR="00944611" w:rsidRPr="00F66A92" w:rsidRDefault="00944611" w:rsidP="00944611">
      <w:pPr>
        <w:pStyle w:val="Cdetexto"/>
        <w:ind w:left="426"/>
        <w:rPr>
          <w:rFonts w:asciiTheme="majorHAnsi" w:hAnsiTheme="majorHAnsi"/>
          <w:i/>
          <w:lang w:val="es-ES_tradnl"/>
        </w:rPr>
      </w:pPr>
      <w:r w:rsidRPr="00944611">
        <w:rPr>
          <w:rFonts w:asciiTheme="majorHAnsi" w:hAnsiTheme="majorHAnsi"/>
          <w:i/>
          <w:iCs/>
          <w:lang w:val="es-ES_tradnl" w:eastAsia="es-MX"/>
        </w:rPr>
        <w:t>Ausencia de un sistema de información único para conocer la demanda total de apoyos del Programa</w:t>
      </w:r>
    </w:p>
    <w:p w:rsidR="00944611" w:rsidRDefault="00944611" w:rsidP="00944611">
      <w:pPr>
        <w:pStyle w:val="Cdetexto"/>
        <w:numPr>
          <w:ilvl w:val="0"/>
          <w:numId w:val="9"/>
        </w:numPr>
        <w:rPr>
          <w:rFonts w:ascii="Cambria" w:hAnsi="Cambria"/>
          <w:i/>
          <w:szCs w:val="22"/>
        </w:rPr>
      </w:pPr>
      <w:r w:rsidRPr="00944611">
        <w:rPr>
          <w:rFonts w:ascii="Cambria" w:hAnsi="Cambria"/>
          <w:i/>
          <w:iCs/>
          <w:szCs w:val="22"/>
          <w:lang w:val="es-ES_tradnl"/>
        </w:rPr>
        <w:t>Homologar la información en las bases de datos de las I</w:t>
      </w:r>
      <w:r>
        <w:rPr>
          <w:rFonts w:ascii="Cambria" w:hAnsi="Cambria"/>
          <w:i/>
          <w:iCs/>
          <w:szCs w:val="22"/>
          <w:lang w:val="es-ES_tradnl"/>
        </w:rPr>
        <w:t>nstituciones Coordinadas</w:t>
      </w:r>
      <w:r w:rsidRPr="00944611">
        <w:rPr>
          <w:rFonts w:ascii="Cambria" w:hAnsi="Cambria"/>
          <w:i/>
          <w:iCs/>
          <w:szCs w:val="22"/>
          <w:lang w:val="es-ES_tradnl"/>
        </w:rPr>
        <w:t xml:space="preserve"> integrando identificadores de los criterios territoriales de selección que contribuyan a hacer comparaciones entre las </w:t>
      </w:r>
      <w:r>
        <w:rPr>
          <w:rFonts w:ascii="Cambria" w:hAnsi="Cambria"/>
          <w:i/>
          <w:iCs/>
          <w:szCs w:val="22"/>
          <w:lang w:val="es-ES_tradnl"/>
        </w:rPr>
        <w:t>mismas</w:t>
      </w:r>
      <w:r w:rsidRPr="00B06B46">
        <w:rPr>
          <w:rFonts w:ascii="Cambria" w:hAnsi="Cambria"/>
          <w:i/>
          <w:iCs/>
          <w:szCs w:val="22"/>
          <w:lang w:val="es-ES_tradnl"/>
        </w:rPr>
        <w:t>.</w:t>
      </w:r>
    </w:p>
    <w:p w:rsidR="006203AA" w:rsidRPr="006203AA" w:rsidRDefault="006203AA" w:rsidP="006203AA">
      <w:pPr>
        <w:pStyle w:val="Cdetexto"/>
        <w:ind w:left="360"/>
        <w:rPr>
          <w:rFonts w:ascii="Cambria" w:hAnsi="Cambria"/>
          <w:i/>
          <w:szCs w:val="22"/>
        </w:rPr>
      </w:pPr>
      <w:r w:rsidRPr="006203AA">
        <w:rPr>
          <w:rFonts w:asciiTheme="majorHAnsi" w:hAnsiTheme="majorHAnsi"/>
          <w:i/>
          <w:iCs/>
          <w:lang w:val="es-ES_tradnl" w:eastAsia="es-MX"/>
        </w:rPr>
        <w:t>Procedimientos incompletos o inexistentes para recibir, registrar y dar trámite a solicitudes, la selección de beneficiarios, otorgar los apoyo</w:t>
      </w:r>
      <w:r>
        <w:rPr>
          <w:rFonts w:asciiTheme="majorHAnsi" w:hAnsiTheme="majorHAnsi"/>
          <w:i/>
          <w:iCs/>
          <w:lang w:val="es-ES_tradnl" w:eastAsia="es-MX"/>
        </w:rPr>
        <w:t>s</w:t>
      </w:r>
      <w:r w:rsidRPr="006203AA">
        <w:rPr>
          <w:rFonts w:asciiTheme="majorHAnsi" w:hAnsiTheme="majorHAnsi"/>
          <w:i/>
          <w:iCs/>
          <w:lang w:val="es-ES_tradnl" w:eastAsia="es-MX"/>
        </w:rPr>
        <w:t>, y ejecución de acciones.</w:t>
      </w:r>
    </w:p>
    <w:p w:rsidR="0065531E" w:rsidRPr="006203AA" w:rsidRDefault="00B06B46" w:rsidP="00C76ABA">
      <w:pPr>
        <w:pStyle w:val="Cdetexto"/>
        <w:numPr>
          <w:ilvl w:val="0"/>
          <w:numId w:val="9"/>
        </w:numPr>
        <w:rPr>
          <w:rFonts w:ascii="Cambria" w:hAnsi="Cambria"/>
          <w:i/>
          <w:szCs w:val="22"/>
        </w:rPr>
      </w:pPr>
      <w:r w:rsidRPr="00B06B46">
        <w:rPr>
          <w:rFonts w:ascii="Cambria" w:hAnsi="Cambria"/>
          <w:i/>
          <w:iCs/>
          <w:szCs w:val="22"/>
          <w:lang w:val="es-ES_tradnl"/>
        </w:rPr>
        <w:t>Elaborar un documento integrado de mecanismos y de verificación de procedimientos para recibir, registrar y dar trámite a solicitudes, selección de beneficiarios, otorgamiento de apoyos (servicios), y ejecución de acciones.</w:t>
      </w:r>
    </w:p>
    <w:p w:rsidR="006203AA" w:rsidRDefault="006203AA" w:rsidP="006203AA">
      <w:pPr>
        <w:pStyle w:val="Cdetexto"/>
        <w:ind w:left="360"/>
        <w:rPr>
          <w:rFonts w:ascii="Cambria" w:hAnsi="Cambria"/>
          <w:i/>
          <w:iCs/>
          <w:szCs w:val="22"/>
          <w:lang w:val="es-ES_tradnl"/>
        </w:rPr>
      </w:pPr>
      <w:r w:rsidRPr="006203AA">
        <w:rPr>
          <w:rFonts w:ascii="Cambria" w:hAnsi="Cambria"/>
          <w:i/>
          <w:iCs/>
          <w:szCs w:val="22"/>
          <w:lang w:val="es-ES_tradnl"/>
        </w:rPr>
        <w:t>Incompletos o inexistentes mecanismos documentados de verificación para recibir, registrar y dar trámite a solicitudes, la selección de beneficiarios, otorgar los apoyo</w:t>
      </w:r>
      <w:r>
        <w:rPr>
          <w:rFonts w:ascii="Cambria" w:hAnsi="Cambria"/>
          <w:i/>
          <w:iCs/>
          <w:szCs w:val="22"/>
          <w:lang w:val="es-ES_tradnl"/>
        </w:rPr>
        <w:t>s</w:t>
      </w:r>
      <w:r w:rsidRPr="006203AA">
        <w:rPr>
          <w:rFonts w:ascii="Cambria" w:hAnsi="Cambria"/>
          <w:i/>
          <w:iCs/>
          <w:szCs w:val="22"/>
          <w:lang w:val="es-ES_tradnl"/>
        </w:rPr>
        <w:t>, y ejecución de acciones.</w:t>
      </w:r>
    </w:p>
    <w:p w:rsidR="006203AA" w:rsidRPr="006203AA" w:rsidRDefault="006203AA" w:rsidP="006203AA">
      <w:pPr>
        <w:pStyle w:val="Cdetexto"/>
        <w:numPr>
          <w:ilvl w:val="0"/>
          <w:numId w:val="9"/>
        </w:numPr>
        <w:rPr>
          <w:rFonts w:ascii="Cambria" w:hAnsi="Cambria"/>
          <w:i/>
          <w:szCs w:val="22"/>
        </w:rPr>
      </w:pPr>
      <w:r w:rsidRPr="006203AA">
        <w:rPr>
          <w:rFonts w:ascii="Cambria" w:hAnsi="Cambria"/>
          <w:i/>
          <w:iCs/>
          <w:szCs w:val="22"/>
          <w:lang w:val="es-ES_tradnl"/>
        </w:rPr>
        <w:t>Incluir en la elaboración de los procedimientos los mecanismos para verificar los procedimientos para recibir, registrar y dar trámite a solicitudes, la selección de beneficiarios, otorgar los apoyo, y ejecución de acciones</w:t>
      </w:r>
      <w:proofErr w:type="gramStart"/>
      <w:r w:rsidRPr="006203AA">
        <w:rPr>
          <w:rFonts w:ascii="Cambria" w:hAnsi="Cambria"/>
          <w:i/>
          <w:iCs/>
          <w:szCs w:val="22"/>
          <w:lang w:val="es-ES_tradnl"/>
        </w:rPr>
        <w:t>.</w:t>
      </w:r>
      <w:r w:rsidRPr="00B06B46">
        <w:rPr>
          <w:rFonts w:ascii="Cambria" w:hAnsi="Cambria"/>
          <w:i/>
          <w:iCs/>
          <w:szCs w:val="22"/>
          <w:lang w:val="es-ES_tradnl"/>
        </w:rPr>
        <w:t>.</w:t>
      </w:r>
      <w:proofErr w:type="gramEnd"/>
    </w:p>
    <w:p w:rsidR="0065531E" w:rsidRDefault="00B06B46" w:rsidP="00950A2D">
      <w:pPr>
        <w:pStyle w:val="Cdetexto"/>
        <w:rPr>
          <w:rFonts w:ascii="Cambria" w:hAnsi="Cambria"/>
          <w:b/>
          <w:i/>
          <w:szCs w:val="22"/>
          <w:lang w:val="es-ES_tradnl"/>
        </w:rPr>
      </w:pPr>
      <w:r w:rsidRPr="00093EB1">
        <w:rPr>
          <w:rFonts w:ascii="Cambria" w:hAnsi="Cambria"/>
          <w:b/>
          <w:i/>
          <w:szCs w:val="22"/>
          <w:lang w:val="es-ES_tradnl"/>
        </w:rPr>
        <w:t>Medición de Resultados</w:t>
      </w:r>
    </w:p>
    <w:p w:rsidR="006203AA" w:rsidRPr="00093EB1" w:rsidRDefault="006203AA" w:rsidP="006203AA">
      <w:pPr>
        <w:pStyle w:val="Cdetexto"/>
        <w:ind w:left="426"/>
        <w:rPr>
          <w:rFonts w:ascii="Cambria" w:hAnsi="Cambria"/>
          <w:b/>
          <w:i/>
          <w:szCs w:val="22"/>
        </w:rPr>
      </w:pPr>
      <w:r>
        <w:rPr>
          <w:rFonts w:ascii="Cambria" w:hAnsi="Cambria"/>
          <w:i/>
          <w:iCs/>
          <w:szCs w:val="22"/>
          <w:lang w:val="es-ES_tradnl"/>
        </w:rPr>
        <w:t>Ausencia de evaluaciones de impacto del programa</w:t>
      </w:r>
    </w:p>
    <w:p w:rsidR="00B06B46" w:rsidRDefault="00B06B46" w:rsidP="00093EB1">
      <w:pPr>
        <w:pStyle w:val="Cdetexto"/>
        <w:numPr>
          <w:ilvl w:val="0"/>
          <w:numId w:val="9"/>
        </w:numPr>
        <w:rPr>
          <w:rFonts w:ascii="Cambria" w:hAnsi="Cambria"/>
          <w:i/>
          <w:szCs w:val="22"/>
        </w:rPr>
      </w:pPr>
      <w:r w:rsidRPr="00B06B46">
        <w:rPr>
          <w:rFonts w:ascii="Cambria" w:hAnsi="Cambria"/>
          <w:bCs/>
          <w:i/>
          <w:szCs w:val="22"/>
          <w:lang w:val="es-ES_tradnl"/>
        </w:rPr>
        <w:t>Realizar un análisis de factibilidad para llevar a cabo una evaluación de impacto del Programa de acuerdo con lineamientos establecidos por el CONEVAL.</w:t>
      </w:r>
    </w:p>
    <w:p w:rsidR="00B06B46" w:rsidRDefault="00B06B46" w:rsidP="00950A2D">
      <w:pPr>
        <w:pStyle w:val="Cdetexto"/>
        <w:rPr>
          <w:rFonts w:ascii="Cambria" w:hAnsi="Cambria"/>
          <w:i/>
          <w:szCs w:val="22"/>
        </w:rPr>
      </w:pPr>
    </w:p>
    <w:p w:rsidR="00950A2D" w:rsidRPr="00950A2D" w:rsidRDefault="00D511F1" w:rsidP="00950A2D">
      <w:pPr>
        <w:pStyle w:val="Cdetextonegrita"/>
        <w:rPr>
          <w:rFonts w:ascii="Cambria" w:hAnsi="Cambria"/>
          <w:b w:val="0"/>
          <w:szCs w:val="22"/>
        </w:rPr>
      </w:pPr>
      <w:r>
        <w:rPr>
          <w:rFonts w:ascii="Cambria" w:hAnsi="Cambria"/>
          <w:szCs w:val="22"/>
        </w:rPr>
        <w:t>Opinión</w:t>
      </w:r>
    </w:p>
    <w:p w:rsidR="00B90685" w:rsidRDefault="00C5775F" w:rsidP="00950A2D">
      <w:pPr>
        <w:pStyle w:val="Cdetexto"/>
        <w:rPr>
          <w:rFonts w:ascii="Cambria" w:hAnsi="Cambria"/>
          <w:i/>
          <w:szCs w:val="22"/>
        </w:rPr>
      </w:pPr>
      <w:r>
        <w:rPr>
          <w:rFonts w:ascii="Cambria" w:hAnsi="Cambria"/>
          <w:i/>
          <w:szCs w:val="22"/>
        </w:rPr>
        <w:t>Se manifiesta que la evaluación no refleja de manera apropiada la operación del Programa como mecanismo de coordinación de entidades descentralizadas</w:t>
      </w:r>
      <w:r w:rsidR="00B90685">
        <w:rPr>
          <w:rFonts w:ascii="Cambria" w:hAnsi="Cambria"/>
          <w:i/>
          <w:szCs w:val="22"/>
        </w:rPr>
        <w:t xml:space="preserve"> a las cuales se accede a través de los mecanismos de referencia médica del Sistema Nacional de Salud</w:t>
      </w:r>
      <w:r w:rsidR="00CD6331">
        <w:rPr>
          <w:rFonts w:ascii="Cambria" w:hAnsi="Cambria"/>
          <w:i/>
          <w:szCs w:val="22"/>
        </w:rPr>
        <w:t xml:space="preserve"> por ser el más alto nivel de especialidad</w:t>
      </w:r>
      <w:r w:rsidR="003C5564">
        <w:rPr>
          <w:rFonts w:ascii="Cambria" w:hAnsi="Cambria"/>
          <w:i/>
          <w:szCs w:val="22"/>
        </w:rPr>
        <w:t xml:space="preserve">; </w:t>
      </w:r>
      <w:r w:rsidR="00B90685">
        <w:rPr>
          <w:rFonts w:ascii="Cambria" w:hAnsi="Cambria"/>
          <w:i/>
          <w:szCs w:val="22"/>
        </w:rPr>
        <w:t xml:space="preserve">estas instituciones, con diferentes áreas de especialidad médica, se caracterizan por poseer autonomía técnica, organizacional, presupuestal y personalidad jurídica propia por lo cual no es factible la instrumentación de procedimientos únicos aplicables a todas las unidades médicas, pero si se opera con sustento en procesos generales que no sólo se identifican con los </w:t>
      </w:r>
      <w:r w:rsidR="00B90685">
        <w:rPr>
          <w:rFonts w:ascii="Cambria" w:hAnsi="Cambria"/>
          <w:i/>
          <w:szCs w:val="22"/>
        </w:rPr>
        <w:lastRenderedPageBreak/>
        <w:t xml:space="preserve">procesos de </w:t>
      </w:r>
      <w:proofErr w:type="spellStart"/>
      <w:r w:rsidR="00B90685">
        <w:rPr>
          <w:rFonts w:ascii="Cambria" w:hAnsi="Cambria"/>
          <w:i/>
          <w:szCs w:val="22"/>
        </w:rPr>
        <w:t>preconsulta</w:t>
      </w:r>
      <w:proofErr w:type="spellEnd"/>
      <w:r w:rsidR="00B90685">
        <w:rPr>
          <w:rFonts w:ascii="Cambria" w:hAnsi="Cambria"/>
          <w:i/>
          <w:szCs w:val="22"/>
        </w:rPr>
        <w:t xml:space="preserve"> o valoración de los usuarios de servicios médicos, o la atención médica ambulatoria u hospitalaria como proceso general sino con la adopción </w:t>
      </w:r>
      <w:r w:rsidR="00CD6331">
        <w:rPr>
          <w:rFonts w:ascii="Cambria" w:hAnsi="Cambria"/>
          <w:i/>
          <w:szCs w:val="22"/>
        </w:rPr>
        <w:t xml:space="preserve">y supervisión de la aplicación </w:t>
      </w:r>
      <w:r w:rsidR="00B90685">
        <w:rPr>
          <w:rFonts w:ascii="Cambria" w:hAnsi="Cambria"/>
          <w:i/>
          <w:szCs w:val="22"/>
        </w:rPr>
        <w:t xml:space="preserve">de la normatividad </w:t>
      </w:r>
      <w:r w:rsidR="00CD6331">
        <w:rPr>
          <w:rFonts w:ascii="Cambria" w:hAnsi="Cambria"/>
          <w:i/>
          <w:szCs w:val="22"/>
        </w:rPr>
        <w:t>vigente en materia de prestación de servicios médicos a través de las normas oficiales m</w:t>
      </w:r>
      <w:r w:rsidR="003C5564">
        <w:rPr>
          <w:rFonts w:ascii="Cambria" w:hAnsi="Cambria"/>
          <w:i/>
          <w:szCs w:val="22"/>
        </w:rPr>
        <w:t>exicanas o los diverso</w:t>
      </w:r>
      <w:r w:rsidR="00CD6331">
        <w:rPr>
          <w:rFonts w:ascii="Cambria" w:hAnsi="Cambria"/>
          <w:i/>
          <w:szCs w:val="22"/>
        </w:rPr>
        <w:t>s</w:t>
      </w:r>
      <w:r w:rsidR="003C5564">
        <w:rPr>
          <w:rFonts w:ascii="Cambria" w:hAnsi="Cambria"/>
          <w:i/>
          <w:szCs w:val="22"/>
        </w:rPr>
        <w:t xml:space="preserve"> mecanismos de acreditación o certificación de cumplimiento de estándares de calidad.</w:t>
      </w:r>
    </w:p>
    <w:p w:rsidR="003C5564" w:rsidRDefault="003C5564" w:rsidP="00950A2D">
      <w:pPr>
        <w:pStyle w:val="Cdetexto"/>
        <w:rPr>
          <w:rFonts w:ascii="Cambria" w:hAnsi="Cambria"/>
          <w:i/>
          <w:szCs w:val="22"/>
        </w:rPr>
      </w:pPr>
      <w:r>
        <w:rPr>
          <w:rFonts w:ascii="Cambria" w:hAnsi="Cambria"/>
          <w:i/>
          <w:szCs w:val="22"/>
        </w:rPr>
        <w:t xml:space="preserve">En el mismo sentido </w:t>
      </w:r>
      <w:r w:rsidR="00196A5C">
        <w:rPr>
          <w:rFonts w:ascii="Cambria" w:hAnsi="Cambria"/>
          <w:i/>
          <w:szCs w:val="22"/>
        </w:rPr>
        <w:t>manifestado</w:t>
      </w:r>
      <w:r>
        <w:rPr>
          <w:rFonts w:ascii="Cambria" w:hAnsi="Cambria"/>
          <w:i/>
          <w:szCs w:val="22"/>
        </w:rPr>
        <w:t xml:space="preserve"> con anterioridad, se expresa que cada una de las instituciones que opera el Programa posee un diagnóstico y planeación </w:t>
      </w:r>
      <w:r w:rsidR="00D43AFA">
        <w:rPr>
          <w:rFonts w:ascii="Cambria" w:hAnsi="Cambria"/>
          <w:i/>
          <w:szCs w:val="22"/>
        </w:rPr>
        <w:t xml:space="preserve">anual y </w:t>
      </w:r>
      <w:r>
        <w:rPr>
          <w:rFonts w:ascii="Cambria" w:hAnsi="Cambria"/>
          <w:i/>
          <w:szCs w:val="22"/>
        </w:rPr>
        <w:t xml:space="preserve">de mediano plazo, individual y </w:t>
      </w:r>
      <w:r w:rsidR="00196A5C">
        <w:rPr>
          <w:rFonts w:ascii="Cambria" w:hAnsi="Cambria"/>
          <w:i/>
          <w:szCs w:val="22"/>
        </w:rPr>
        <w:t xml:space="preserve">también </w:t>
      </w:r>
      <w:r>
        <w:rPr>
          <w:rFonts w:ascii="Cambria" w:hAnsi="Cambria"/>
          <w:i/>
          <w:szCs w:val="22"/>
        </w:rPr>
        <w:t xml:space="preserve">como grupo de instituciones (Programa de  Acción Específico Medicina de Alta Especialidad), que </w:t>
      </w:r>
      <w:proofErr w:type="spellStart"/>
      <w:r>
        <w:rPr>
          <w:rFonts w:ascii="Cambria" w:hAnsi="Cambria"/>
          <w:i/>
          <w:szCs w:val="22"/>
        </w:rPr>
        <w:t>guia</w:t>
      </w:r>
      <w:proofErr w:type="spellEnd"/>
      <w:r>
        <w:rPr>
          <w:rFonts w:ascii="Cambria" w:hAnsi="Cambria"/>
          <w:i/>
          <w:szCs w:val="22"/>
        </w:rPr>
        <w:t xml:space="preserve"> su actuar</w:t>
      </w:r>
      <w:r w:rsidR="00D43AFA">
        <w:rPr>
          <w:rFonts w:ascii="Cambria" w:hAnsi="Cambria"/>
          <w:i/>
          <w:szCs w:val="22"/>
        </w:rPr>
        <w:t>, con procedimientos y sistemas de información que son susceptibles de auditarse.</w:t>
      </w:r>
    </w:p>
    <w:p w:rsidR="003C5564" w:rsidRDefault="003C5564" w:rsidP="00950A2D">
      <w:pPr>
        <w:pStyle w:val="Cdetexto"/>
        <w:rPr>
          <w:rFonts w:ascii="Cambria" w:hAnsi="Cambria"/>
          <w:i/>
          <w:szCs w:val="22"/>
        </w:rPr>
      </w:pPr>
      <w:r>
        <w:rPr>
          <w:rFonts w:ascii="Cambria" w:hAnsi="Cambria"/>
          <w:i/>
          <w:szCs w:val="22"/>
        </w:rPr>
        <w:t xml:space="preserve">No obstante lo anterior, </w:t>
      </w:r>
      <w:r w:rsidR="00D43AFA">
        <w:rPr>
          <w:rFonts w:ascii="Cambria" w:hAnsi="Cambria"/>
          <w:i/>
          <w:szCs w:val="22"/>
        </w:rPr>
        <w:t xml:space="preserve">para fortalecer el cumplimiento de la Metodología de Marco Lógico </w:t>
      </w:r>
      <w:r>
        <w:rPr>
          <w:rFonts w:ascii="Cambria" w:hAnsi="Cambria"/>
          <w:i/>
          <w:szCs w:val="22"/>
        </w:rPr>
        <w:t>el Programa desarrollar</w:t>
      </w:r>
      <w:r w:rsidR="00C10326">
        <w:rPr>
          <w:rFonts w:ascii="Cambria" w:hAnsi="Cambria"/>
          <w:i/>
          <w:szCs w:val="22"/>
        </w:rPr>
        <w:t>á el D</w:t>
      </w:r>
      <w:r>
        <w:rPr>
          <w:rFonts w:ascii="Cambria" w:hAnsi="Cambria"/>
          <w:i/>
          <w:szCs w:val="22"/>
        </w:rPr>
        <w:t>iag</w:t>
      </w:r>
      <w:r w:rsidR="00D43AFA">
        <w:rPr>
          <w:rFonts w:ascii="Cambria" w:hAnsi="Cambria"/>
          <w:i/>
          <w:szCs w:val="22"/>
        </w:rPr>
        <w:t xml:space="preserve">nóstico del Programa en los términos señalados por el </w:t>
      </w:r>
      <w:proofErr w:type="spellStart"/>
      <w:r w:rsidR="00D43AFA">
        <w:rPr>
          <w:rFonts w:ascii="Cambria" w:hAnsi="Cambria"/>
          <w:i/>
          <w:szCs w:val="22"/>
        </w:rPr>
        <w:t>Coneval</w:t>
      </w:r>
      <w:proofErr w:type="spellEnd"/>
      <w:r w:rsidR="00D43AFA">
        <w:rPr>
          <w:rFonts w:ascii="Cambria" w:hAnsi="Cambria"/>
          <w:i/>
          <w:szCs w:val="22"/>
        </w:rPr>
        <w:t xml:space="preserve"> para programas de nueva creaci</w:t>
      </w:r>
      <w:r w:rsidR="00C10326">
        <w:rPr>
          <w:rFonts w:ascii="Cambria" w:hAnsi="Cambria"/>
          <w:i/>
          <w:szCs w:val="22"/>
        </w:rPr>
        <w:t xml:space="preserve">ón(aunque su operación en cada una de las instituciones data de ya hace varias décadas) incorporando aquellos elementos </w:t>
      </w:r>
      <w:r w:rsidR="00B713D5">
        <w:rPr>
          <w:rFonts w:ascii="Cambria" w:hAnsi="Cambria"/>
          <w:i/>
          <w:szCs w:val="22"/>
        </w:rPr>
        <w:t xml:space="preserve">que orienten la adecuada interpretación de su población potencial, objetivo y atendida, así como </w:t>
      </w:r>
      <w:r w:rsidR="00196A5C">
        <w:rPr>
          <w:rFonts w:ascii="Cambria" w:hAnsi="Cambria"/>
          <w:i/>
          <w:szCs w:val="22"/>
        </w:rPr>
        <w:t xml:space="preserve">el </w:t>
      </w:r>
      <w:r w:rsidR="00B713D5">
        <w:rPr>
          <w:rFonts w:ascii="Cambria" w:hAnsi="Cambria"/>
          <w:i/>
          <w:szCs w:val="22"/>
        </w:rPr>
        <w:t xml:space="preserve"> acercamiento</w:t>
      </w:r>
      <w:r w:rsidR="00196A5C">
        <w:rPr>
          <w:rFonts w:ascii="Cambria" w:hAnsi="Cambria"/>
          <w:i/>
          <w:szCs w:val="22"/>
        </w:rPr>
        <w:t xml:space="preserve"> más pertinente </w:t>
      </w:r>
      <w:r w:rsidR="00B713D5">
        <w:rPr>
          <w:rFonts w:ascii="Cambria" w:hAnsi="Cambria"/>
          <w:i/>
          <w:szCs w:val="22"/>
        </w:rPr>
        <w:t>al concepto de cobertura y focalización, además de señalar las peculiaridades de la operación homogénea de las instituciones en un entorno de cumplimiento de la normatividad vigente no sólo para los actos médicos sino también para el fomento de la calidad en la prestación de servicios.</w:t>
      </w:r>
    </w:p>
    <w:p w:rsidR="00196A5C" w:rsidRDefault="00196A5C" w:rsidP="00950A2D">
      <w:pPr>
        <w:pStyle w:val="Cdetexto"/>
        <w:rPr>
          <w:rFonts w:ascii="Cambria" w:hAnsi="Cambria"/>
          <w:i/>
          <w:szCs w:val="22"/>
        </w:rPr>
      </w:pPr>
      <w:r>
        <w:rPr>
          <w:rFonts w:ascii="Cambria" w:hAnsi="Cambria"/>
          <w:i/>
          <w:szCs w:val="22"/>
        </w:rPr>
        <w:t>Es preciso señalar que como parte de las directrices que emita la Secretaría de Hacienda y Crédito Público para la planeación nacional y sectorial de mediano plazo para el periodo 2019-2014 se incorporarán en los programas de acción específicos de medicina de alta especialidad los elementos que permitan hacer consistente este instrumento que norma la Ley General de Desarrollo Social con la metodología de marco lógico.</w:t>
      </w:r>
    </w:p>
    <w:p w:rsidR="00196A5C" w:rsidRDefault="00B713D5" w:rsidP="00196A5C">
      <w:pPr>
        <w:pStyle w:val="Cdetexto"/>
        <w:rPr>
          <w:rFonts w:ascii="Cambria" w:hAnsi="Cambria"/>
          <w:i/>
          <w:szCs w:val="22"/>
        </w:rPr>
      </w:pPr>
      <w:r>
        <w:rPr>
          <w:rFonts w:ascii="Cambria" w:hAnsi="Cambria"/>
          <w:i/>
          <w:szCs w:val="22"/>
        </w:rPr>
        <w:t>Otro aspecto que el Programa reconoce es la necesidad de llevar a cabo un acercamiento a</w:t>
      </w:r>
      <w:r w:rsidR="00196A5C">
        <w:rPr>
          <w:rFonts w:ascii="Cambria" w:hAnsi="Cambria"/>
          <w:i/>
          <w:szCs w:val="22"/>
        </w:rPr>
        <w:t xml:space="preserve"> </w:t>
      </w:r>
      <w:r>
        <w:rPr>
          <w:rFonts w:ascii="Cambria" w:hAnsi="Cambria"/>
          <w:i/>
          <w:szCs w:val="22"/>
        </w:rPr>
        <w:t>l</w:t>
      </w:r>
      <w:r w:rsidR="00196A5C">
        <w:rPr>
          <w:rFonts w:ascii="Cambria" w:hAnsi="Cambria"/>
          <w:i/>
          <w:szCs w:val="22"/>
        </w:rPr>
        <w:t xml:space="preserve">a Dirección General de Evaluación del Desempeño de la Secretaría de Salud y el CONEVAL respecto a si el programa cumple con las características para llevar a cabo una evaluación de impacto; esta solicitud de evaluación de factibilidad se emitiría al </w:t>
      </w:r>
      <w:proofErr w:type="spellStart"/>
      <w:r w:rsidR="00196A5C">
        <w:rPr>
          <w:rFonts w:ascii="Cambria" w:hAnsi="Cambria"/>
          <w:i/>
          <w:szCs w:val="22"/>
        </w:rPr>
        <w:t>Coneval</w:t>
      </w:r>
      <w:proofErr w:type="spellEnd"/>
      <w:r w:rsidR="00196A5C">
        <w:rPr>
          <w:rFonts w:ascii="Cambria" w:hAnsi="Cambria"/>
          <w:i/>
          <w:szCs w:val="22"/>
        </w:rPr>
        <w:t xml:space="preserve"> una vez que el programa haya incorporado en su operación las directrices de la planeación nacional y sectorial 2019-2014. </w:t>
      </w:r>
    </w:p>
    <w:tbl>
      <w:tblPr>
        <w:tblW w:w="5307" w:type="pct"/>
        <w:tblInd w:w="-176" w:type="dxa"/>
        <w:tblLayout w:type="fixed"/>
        <w:tblLook w:val="04A0" w:firstRow="1" w:lastRow="0" w:firstColumn="1" w:lastColumn="0" w:noHBand="0" w:noVBand="1"/>
      </w:tblPr>
      <w:tblGrid>
        <w:gridCol w:w="1552"/>
        <w:gridCol w:w="2522"/>
        <w:gridCol w:w="1193"/>
        <w:gridCol w:w="407"/>
        <w:gridCol w:w="3707"/>
      </w:tblGrid>
      <w:tr w:rsidR="001C3F21" w:rsidRPr="00950A2D" w:rsidTr="008F5D11">
        <w:trPr>
          <w:trHeight w:val="1177"/>
        </w:trPr>
        <w:tc>
          <w:tcPr>
            <w:tcW w:w="827" w:type="pct"/>
            <w:vAlign w:val="center"/>
            <w:hideMark/>
          </w:tcPr>
          <w:p w:rsidR="001C3F21" w:rsidRPr="00950A2D" w:rsidRDefault="001C3F21" w:rsidP="008F5D11">
            <w:pPr>
              <w:pStyle w:val="Textocuadroneg1"/>
              <w:rPr>
                <w:rFonts w:ascii="Cambria" w:hAnsi="Cambria"/>
                <w:sz w:val="16"/>
                <w:szCs w:val="16"/>
              </w:rPr>
            </w:pPr>
            <w:r w:rsidRPr="00950A2D">
              <w:rPr>
                <w:rFonts w:ascii="Cambria" w:hAnsi="Cambria"/>
                <w:sz w:val="16"/>
                <w:szCs w:val="16"/>
              </w:rPr>
              <w:t>Ev</w:t>
            </w:r>
            <w:bookmarkStart w:id="1" w:name="_GoBack"/>
            <w:bookmarkEnd w:id="1"/>
            <w:r w:rsidRPr="00950A2D">
              <w:rPr>
                <w:rFonts w:ascii="Cambria" w:hAnsi="Cambria"/>
                <w:sz w:val="16"/>
                <w:szCs w:val="16"/>
              </w:rPr>
              <w:t>aluador Externo</w:t>
            </w:r>
          </w:p>
        </w:tc>
        <w:tc>
          <w:tcPr>
            <w:tcW w:w="4173" w:type="pct"/>
            <w:gridSpan w:val="4"/>
            <w:vAlign w:val="center"/>
            <w:hideMark/>
          </w:tcPr>
          <w:p w:rsidR="001C3F21" w:rsidRPr="00950A2D" w:rsidRDefault="001C3F21" w:rsidP="008F5D11">
            <w:pPr>
              <w:pStyle w:val="Textocuadro"/>
              <w:jc w:val="both"/>
              <w:rPr>
                <w:rFonts w:ascii="Cambria" w:hAnsi="Cambria"/>
                <w:sz w:val="16"/>
                <w:szCs w:val="16"/>
              </w:rPr>
            </w:pPr>
            <w:r>
              <w:rPr>
                <w:rFonts w:ascii="Cambria" w:hAnsi="Cambria"/>
                <w:sz w:val="16"/>
                <w:szCs w:val="16"/>
              </w:rPr>
              <w:t xml:space="preserve">1. Instancia Evaluadora: </w:t>
            </w:r>
            <w:r>
              <w:rPr>
                <w:rFonts w:ascii="Cambria" w:hAnsi="Cambria"/>
                <w:i/>
                <w:sz w:val="16"/>
                <w:szCs w:val="16"/>
              </w:rPr>
              <w:t>Investigación en Salud y Demografía S.C.</w:t>
            </w:r>
          </w:p>
          <w:p w:rsidR="001C3F21" w:rsidRPr="00950A2D" w:rsidRDefault="001C3F21" w:rsidP="008F5D11">
            <w:pPr>
              <w:pStyle w:val="Textocuadro"/>
              <w:jc w:val="both"/>
              <w:rPr>
                <w:rFonts w:ascii="Cambria" w:hAnsi="Cambria"/>
                <w:sz w:val="16"/>
                <w:szCs w:val="16"/>
              </w:rPr>
            </w:pPr>
            <w:r w:rsidRPr="00950A2D">
              <w:rPr>
                <w:rFonts w:ascii="Cambria" w:hAnsi="Cambria"/>
                <w:sz w:val="16"/>
                <w:szCs w:val="16"/>
              </w:rPr>
              <w:t>2.</w:t>
            </w:r>
            <w:r>
              <w:rPr>
                <w:rFonts w:ascii="Cambria" w:hAnsi="Cambria"/>
                <w:sz w:val="16"/>
                <w:szCs w:val="16"/>
              </w:rPr>
              <w:t xml:space="preserve"> Coordinador de la Evaluación: Dr. Manuel Urbina Fuentes; murbina@insad.com.mx</w:t>
            </w:r>
          </w:p>
          <w:p w:rsidR="001C3F21" w:rsidRPr="00950A2D" w:rsidRDefault="001C3F21" w:rsidP="008F5D11">
            <w:pPr>
              <w:pStyle w:val="Textocuadro"/>
              <w:jc w:val="both"/>
              <w:rPr>
                <w:rFonts w:ascii="Cambria" w:hAnsi="Cambria"/>
                <w:sz w:val="16"/>
                <w:szCs w:val="16"/>
              </w:rPr>
            </w:pPr>
            <w:r w:rsidRPr="00950A2D">
              <w:rPr>
                <w:rFonts w:ascii="Cambria" w:hAnsi="Cambria"/>
                <w:sz w:val="16"/>
                <w:szCs w:val="16"/>
              </w:rPr>
              <w:t xml:space="preserve">3. Forma de contratación: </w:t>
            </w:r>
            <w:r>
              <w:rPr>
                <w:rFonts w:ascii="Cambria" w:hAnsi="Cambria"/>
                <w:sz w:val="16"/>
                <w:szCs w:val="16"/>
              </w:rPr>
              <w:t>Procedimiento de Invitación a Cuanto Menos Tres Personas</w:t>
            </w:r>
          </w:p>
        </w:tc>
      </w:tr>
      <w:tr w:rsidR="001C3F21" w:rsidRPr="00950A2D" w:rsidTr="008F5D11">
        <w:trPr>
          <w:trHeight w:val="582"/>
        </w:trPr>
        <w:tc>
          <w:tcPr>
            <w:tcW w:w="827" w:type="pct"/>
            <w:vAlign w:val="center"/>
            <w:hideMark/>
          </w:tcPr>
          <w:p w:rsidR="001C3F21" w:rsidRPr="00950A2D" w:rsidRDefault="001C3F21" w:rsidP="008F5D11">
            <w:pPr>
              <w:pStyle w:val="Textocuadroneg1"/>
              <w:rPr>
                <w:rFonts w:ascii="Cambria" w:hAnsi="Cambria"/>
                <w:sz w:val="16"/>
                <w:szCs w:val="16"/>
              </w:rPr>
            </w:pPr>
            <w:r w:rsidRPr="00950A2D">
              <w:rPr>
                <w:rFonts w:ascii="Cambria" w:hAnsi="Cambria"/>
                <w:sz w:val="16"/>
                <w:szCs w:val="16"/>
              </w:rPr>
              <w:t>Costo:</w:t>
            </w:r>
          </w:p>
        </w:tc>
        <w:tc>
          <w:tcPr>
            <w:tcW w:w="1344" w:type="pct"/>
            <w:vAlign w:val="center"/>
            <w:hideMark/>
          </w:tcPr>
          <w:p w:rsidR="001C3F21" w:rsidRDefault="001C3F21" w:rsidP="008F5D11">
            <w:pPr>
              <w:jc w:val="both"/>
              <w:rPr>
                <w:rFonts w:ascii="Cambria" w:hAnsi="Cambria"/>
                <w:i/>
                <w:sz w:val="16"/>
                <w:szCs w:val="16"/>
                <w:lang w:val="es-ES"/>
              </w:rPr>
            </w:pPr>
          </w:p>
          <w:p w:rsidR="001C3F21" w:rsidRPr="004F33BB" w:rsidRDefault="001C3F21" w:rsidP="008F5D11">
            <w:pPr>
              <w:jc w:val="both"/>
              <w:rPr>
                <w:rFonts w:ascii="Cambria" w:hAnsi="Cambria"/>
                <w:i/>
                <w:sz w:val="16"/>
                <w:szCs w:val="16"/>
                <w:lang w:val="es-ES"/>
              </w:rPr>
            </w:pPr>
            <w:r w:rsidRPr="00664AAA">
              <w:rPr>
                <w:rFonts w:ascii="Cambria" w:hAnsi="Cambria"/>
                <w:b/>
                <w:i/>
                <w:sz w:val="16"/>
                <w:szCs w:val="16"/>
                <w:lang w:val="es-ES"/>
              </w:rPr>
              <w:t>$</w:t>
            </w:r>
            <w:r>
              <w:rPr>
                <w:rFonts w:ascii="Cambria" w:hAnsi="Cambria"/>
                <w:i/>
                <w:sz w:val="16"/>
                <w:szCs w:val="16"/>
                <w:lang w:val="es-ES"/>
              </w:rPr>
              <w:t xml:space="preserve"> </w:t>
            </w:r>
            <w:r w:rsidRPr="00664AAA">
              <w:rPr>
                <w:rFonts w:ascii="Cambria" w:hAnsi="Cambria"/>
                <w:b/>
                <w:i/>
                <w:sz w:val="16"/>
                <w:szCs w:val="16"/>
                <w:lang w:val="es-ES"/>
              </w:rPr>
              <w:t>696,000.00</w:t>
            </w:r>
            <w:r>
              <w:rPr>
                <w:rFonts w:ascii="Cambria" w:hAnsi="Cambria"/>
                <w:i/>
                <w:sz w:val="16"/>
                <w:szCs w:val="16"/>
                <w:lang w:val="es-ES"/>
              </w:rPr>
              <w:t xml:space="preserve"> </w:t>
            </w:r>
          </w:p>
          <w:p w:rsidR="001C3F21" w:rsidRPr="004F33BB" w:rsidRDefault="001C3F21" w:rsidP="008F5D11">
            <w:pPr>
              <w:jc w:val="both"/>
              <w:rPr>
                <w:rFonts w:ascii="Cambria" w:hAnsi="Cambria"/>
                <w:i/>
                <w:sz w:val="16"/>
                <w:szCs w:val="16"/>
                <w:lang w:val="es-ES"/>
              </w:rPr>
            </w:pPr>
          </w:p>
        </w:tc>
        <w:tc>
          <w:tcPr>
            <w:tcW w:w="853" w:type="pct"/>
            <w:gridSpan w:val="2"/>
            <w:vAlign w:val="center"/>
            <w:hideMark/>
          </w:tcPr>
          <w:p w:rsidR="001C3F21" w:rsidRPr="00950A2D" w:rsidRDefault="001C3F21" w:rsidP="008F5D11">
            <w:pPr>
              <w:pStyle w:val="Textocuadroneg1"/>
              <w:rPr>
                <w:rFonts w:ascii="Cambria" w:hAnsi="Cambria"/>
                <w:sz w:val="16"/>
                <w:szCs w:val="16"/>
              </w:rPr>
            </w:pPr>
            <w:r w:rsidRPr="00950A2D">
              <w:rPr>
                <w:rFonts w:ascii="Cambria" w:hAnsi="Cambria"/>
                <w:sz w:val="16"/>
                <w:szCs w:val="16"/>
              </w:rPr>
              <w:t>Fuente de Financiamiento:</w:t>
            </w:r>
          </w:p>
        </w:tc>
        <w:tc>
          <w:tcPr>
            <w:tcW w:w="1976" w:type="pct"/>
            <w:vAlign w:val="center"/>
            <w:hideMark/>
          </w:tcPr>
          <w:p w:rsidR="001C3F21" w:rsidRPr="00950A2D" w:rsidRDefault="001C3F21" w:rsidP="008F5D11">
            <w:pPr>
              <w:pStyle w:val="Textocuadro"/>
              <w:jc w:val="both"/>
              <w:rPr>
                <w:rFonts w:ascii="Cambria" w:hAnsi="Cambria"/>
                <w:color w:val="FF0000"/>
                <w:sz w:val="16"/>
                <w:szCs w:val="16"/>
              </w:rPr>
            </w:pPr>
            <w:r>
              <w:rPr>
                <w:rFonts w:ascii="Cambria" w:hAnsi="Cambria"/>
                <w:sz w:val="16"/>
                <w:szCs w:val="16"/>
              </w:rPr>
              <w:t>Recursos Fiscales</w:t>
            </w:r>
          </w:p>
        </w:tc>
      </w:tr>
      <w:tr w:rsidR="001C3F21" w:rsidRPr="00731526" w:rsidTr="008F5D11">
        <w:trPr>
          <w:trHeight w:val="974"/>
        </w:trPr>
        <w:tc>
          <w:tcPr>
            <w:tcW w:w="827" w:type="pct"/>
            <w:tcBorders>
              <w:top w:val="nil"/>
              <w:left w:val="nil"/>
              <w:right w:val="nil"/>
            </w:tcBorders>
            <w:vAlign w:val="center"/>
            <w:hideMark/>
          </w:tcPr>
          <w:p w:rsidR="001C3F21" w:rsidRPr="00950A2D" w:rsidRDefault="001C3F21" w:rsidP="008F5D11">
            <w:pPr>
              <w:pStyle w:val="Textocuadroneg1"/>
              <w:rPr>
                <w:rFonts w:ascii="Cambria" w:hAnsi="Cambria"/>
                <w:sz w:val="16"/>
                <w:szCs w:val="16"/>
              </w:rPr>
            </w:pPr>
            <w:r w:rsidRPr="00950A2D">
              <w:rPr>
                <w:rFonts w:ascii="Cambria" w:hAnsi="Cambria"/>
                <w:sz w:val="16"/>
                <w:szCs w:val="16"/>
              </w:rPr>
              <w:t>Instancia de Coordinación</w:t>
            </w:r>
          </w:p>
        </w:tc>
        <w:tc>
          <w:tcPr>
            <w:tcW w:w="1344" w:type="pct"/>
            <w:tcBorders>
              <w:top w:val="nil"/>
              <w:left w:val="nil"/>
              <w:right w:val="nil"/>
            </w:tcBorders>
            <w:vAlign w:val="center"/>
          </w:tcPr>
          <w:p w:rsidR="001C3F21" w:rsidRPr="00950A2D" w:rsidRDefault="001C3F21" w:rsidP="008F5D11">
            <w:pPr>
              <w:pStyle w:val="Textocuadro"/>
              <w:jc w:val="both"/>
              <w:rPr>
                <w:rFonts w:ascii="Cambria" w:hAnsi="Cambria"/>
                <w:sz w:val="16"/>
                <w:szCs w:val="16"/>
              </w:rPr>
            </w:pPr>
            <w:r w:rsidRPr="00950A2D">
              <w:rPr>
                <w:rFonts w:ascii="Cambria" w:hAnsi="Cambria"/>
                <w:i/>
                <w:sz w:val="16"/>
                <w:szCs w:val="16"/>
              </w:rPr>
              <w:t xml:space="preserve"> CONEVAL </w:t>
            </w:r>
          </w:p>
        </w:tc>
        <w:tc>
          <w:tcPr>
            <w:tcW w:w="636" w:type="pct"/>
            <w:tcBorders>
              <w:top w:val="nil"/>
              <w:left w:val="nil"/>
              <w:right w:val="nil"/>
            </w:tcBorders>
            <w:vAlign w:val="center"/>
            <w:hideMark/>
          </w:tcPr>
          <w:p w:rsidR="001C3F21" w:rsidRPr="00950A2D" w:rsidRDefault="001C3F21" w:rsidP="008F5D11">
            <w:pPr>
              <w:pStyle w:val="Textocuadroneg1"/>
              <w:rPr>
                <w:rFonts w:ascii="Cambria" w:hAnsi="Cambria"/>
                <w:sz w:val="16"/>
                <w:szCs w:val="16"/>
              </w:rPr>
            </w:pPr>
          </w:p>
          <w:p w:rsidR="001C3F21" w:rsidRPr="00950A2D" w:rsidRDefault="001C3F21" w:rsidP="008F5D11">
            <w:pPr>
              <w:pStyle w:val="Textocuadroneg1"/>
              <w:rPr>
                <w:rFonts w:ascii="Cambria" w:hAnsi="Cambria"/>
                <w:sz w:val="16"/>
                <w:szCs w:val="16"/>
              </w:rPr>
            </w:pPr>
            <w:r w:rsidRPr="00950A2D">
              <w:rPr>
                <w:rFonts w:ascii="Cambria" w:hAnsi="Cambria"/>
                <w:sz w:val="16"/>
                <w:szCs w:val="16"/>
              </w:rPr>
              <w:t>Informe completo disponible en:</w:t>
            </w:r>
          </w:p>
        </w:tc>
        <w:tc>
          <w:tcPr>
            <w:tcW w:w="2193" w:type="pct"/>
            <w:gridSpan w:val="2"/>
            <w:tcBorders>
              <w:top w:val="nil"/>
              <w:left w:val="nil"/>
              <w:right w:val="nil"/>
            </w:tcBorders>
            <w:vAlign w:val="center"/>
            <w:hideMark/>
          </w:tcPr>
          <w:p w:rsidR="001C3F21" w:rsidRPr="00F01B0D" w:rsidRDefault="001C3F21" w:rsidP="008F5D11">
            <w:pPr>
              <w:pStyle w:val="Textocuadro"/>
              <w:jc w:val="both"/>
              <w:rPr>
                <w:rFonts w:ascii="Cambria" w:hAnsi="Cambria"/>
                <w:sz w:val="16"/>
                <w:szCs w:val="16"/>
              </w:rPr>
            </w:pPr>
            <w:hyperlink r:id="rId8" w:history="1">
              <w:r w:rsidRPr="000A30AC">
                <w:rPr>
                  <w:rStyle w:val="Hipervnculo"/>
                  <w:rFonts w:ascii="Cambria" w:eastAsiaTheme="majorEastAsia" w:hAnsi="Cambria"/>
                  <w:sz w:val="16"/>
                  <w:szCs w:val="16"/>
                </w:rPr>
                <w:t>http://www.dged.salud.gob.mx/contenidos/deppes/evaluaciones_filtros.html</w:t>
              </w:r>
            </w:hyperlink>
            <w:r w:rsidRPr="00F01B0D">
              <w:rPr>
                <w:rFonts w:ascii="Cambria" w:hAnsi="Cambria"/>
                <w:sz w:val="16"/>
                <w:szCs w:val="16"/>
              </w:rPr>
              <w:t xml:space="preserve"> </w:t>
            </w:r>
          </w:p>
          <w:p w:rsidR="001C3F21" w:rsidRPr="00731526" w:rsidRDefault="001C3F21" w:rsidP="008F5D11">
            <w:pPr>
              <w:jc w:val="both"/>
              <w:rPr>
                <w:lang w:val="es-ES"/>
              </w:rPr>
            </w:pPr>
            <w:r>
              <w:rPr>
                <w:rFonts w:ascii="Cambria" w:hAnsi="Cambria"/>
                <w:i/>
                <w:sz w:val="16"/>
                <w:szCs w:val="16"/>
                <w:lang w:val="es-ES"/>
              </w:rPr>
              <w:t xml:space="preserve">Registrado en </w:t>
            </w:r>
            <w:r w:rsidRPr="00731526">
              <w:rPr>
                <w:rFonts w:ascii="Cambria" w:hAnsi="Cambria"/>
                <w:i/>
                <w:sz w:val="16"/>
                <w:szCs w:val="16"/>
                <w:lang w:val="es-ES"/>
              </w:rPr>
              <w:t>el M</w:t>
            </w:r>
            <w:r>
              <w:rPr>
                <w:rFonts w:ascii="Cambria" w:hAnsi="Cambria"/>
                <w:i/>
                <w:sz w:val="16"/>
                <w:szCs w:val="16"/>
                <w:lang w:val="es-ES"/>
              </w:rPr>
              <w:t>ódulo de Consistencia y Resultados</w:t>
            </w:r>
          </w:p>
        </w:tc>
      </w:tr>
      <w:tr w:rsidR="001C3F21" w:rsidRPr="00950A2D" w:rsidTr="008F5D11">
        <w:trPr>
          <w:trHeight w:val="582"/>
        </w:trPr>
        <w:tc>
          <w:tcPr>
            <w:tcW w:w="827" w:type="pct"/>
            <w:tcBorders>
              <w:top w:val="nil"/>
              <w:left w:val="nil"/>
              <w:bottom w:val="nil"/>
              <w:right w:val="nil"/>
            </w:tcBorders>
            <w:vAlign w:val="center"/>
          </w:tcPr>
          <w:p w:rsidR="001C3F21" w:rsidRPr="00950A2D" w:rsidRDefault="001C3F21" w:rsidP="008F5D11">
            <w:pPr>
              <w:pStyle w:val="Textocuadroneg1"/>
              <w:rPr>
                <w:rFonts w:ascii="Cambria" w:hAnsi="Cambria"/>
                <w:sz w:val="16"/>
                <w:szCs w:val="16"/>
              </w:rPr>
            </w:pPr>
            <w:r w:rsidRPr="00950A2D">
              <w:rPr>
                <w:rFonts w:ascii="Cambria" w:hAnsi="Cambria"/>
                <w:sz w:val="16"/>
                <w:szCs w:val="16"/>
              </w:rPr>
              <w:t>Principal equipo colaborador</w:t>
            </w:r>
          </w:p>
        </w:tc>
        <w:tc>
          <w:tcPr>
            <w:tcW w:w="4173" w:type="pct"/>
            <w:gridSpan w:val="4"/>
            <w:tcBorders>
              <w:top w:val="nil"/>
              <w:left w:val="nil"/>
              <w:bottom w:val="nil"/>
              <w:right w:val="nil"/>
            </w:tcBorders>
            <w:vAlign w:val="center"/>
          </w:tcPr>
          <w:p w:rsidR="001C3F21" w:rsidRPr="00950A2D" w:rsidRDefault="001C3F21" w:rsidP="008F5D11">
            <w:pPr>
              <w:pStyle w:val="Textocuadro"/>
              <w:jc w:val="both"/>
              <w:rPr>
                <w:rFonts w:ascii="Cambria" w:hAnsi="Cambria"/>
                <w:sz w:val="16"/>
                <w:szCs w:val="16"/>
              </w:rPr>
            </w:pPr>
            <w:r>
              <w:rPr>
                <w:rFonts w:ascii="Cambria" w:hAnsi="Cambria"/>
                <w:i/>
                <w:sz w:val="16"/>
                <w:szCs w:val="16"/>
              </w:rPr>
              <w:t xml:space="preserve">Dr. Gregorio Ornelas García, Mtra. Alejandra Rojas Pérez, Lic. Patricia Barrón Belmonte, Mtro. Eric Arturo Córdova </w:t>
            </w:r>
            <w:proofErr w:type="spellStart"/>
            <w:r>
              <w:rPr>
                <w:rFonts w:ascii="Cambria" w:hAnsi="Cambria"/>
                <w:i/>
                <w:sz w:val="16"/>
                <w:szCs w:val="16"/>
              </w:rPr>
              <w:t>Manzur</w:t>
            </w:r>
            <w:proofErr w:type="spellEnd"/>
            <w:r>
              <w:rPr>
                <w:rFonts w:ascii="Cambria" w:hAnsi="Cambria"/>
                <w:i/>
                <w:sz w:val="16"/>
                <w:szCs w:val="16"/>
              </w:rPr>
              <w:t>, Lic. Mónica González Casillas</w:t>
            </w:r>
          </w:p>
        </w:tc>
      </w:tr>
    </w:tbl>
    <w:p w:rsidR="00093EB1" w:rsidRPr="00093EB1" w:rsidRDefault="00093EB1" w:rsidP="001C3F21">
      <w:pPr>
        <w:pStyle w:val="Cdetexto"/>
        <w:rPr>
          <w:rFonts w:asciiTheme="majorHAnsi" w:hAnsiTheme="majorHAnsi"/>
        </w:rPr>
      </w:pPr>
    </w:p>
    <w:sectPr w:rsidR="00093EB1" w:rsidRPr="00093EB1">
      <w:headerReference w:type="default" r:id="rId9"/>
      <w:foot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618A" w:rsidRDefault="0032618A" w:rsidP="00DD3F25">
      <w:pPr>
        <w:spacing w:after="0" w:line="240" w:lineRule="auto"/>
      </w:pPr>
      <w:r>
        <w:separator/>
      </w:r>
    </w:p>
  </w:endnote>
  <w:endnote w:type="continuationSeparator" w:id="0">
    <w:p w:rsidR="0032618A" w:rsidRDefault="0032618A" w:rsidP="00DD3F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oberana Sans">
    <w:altName w:val="Calibri"/>
    <w:panose1 w:val="00000000000000000000"/>
    <w:charset w:val="00"/>
    <w:family w:val="modern"/>
    <w:notTrueType/>
    <w:pitch w:val="variable"/>
    <w:sig w:usb0="800000AF" w:usb1="4000204B"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8781397"/>
      <w:docPartObj>
        <w:docPartGallery w:val="Page Numbers (Bottom of Page)"/>
        <w:docPartUnique/>
      </w:docPartObj>
    </w:sdtPr>
    <w:sdtEndPr/>
    <w:sdtContent>
      <w:p w:rsidR="00394559" w:rsidRDefault="00394559">
        <w:pPr>
          <w:pStyle w:val="Piedepgina"/>
          <w:jc w:val="right"/>
        </w:pPr>
        <w:r>
          <w:fldChar w:fldCharType="begin"/>
        </w:r>
        <w:r>
          <w:instrText>PAGE   \* MERGEFORMAT</w:instrText>
        </w:r>
        <w:r>
          <w:fldChar w:fldCharType="separate"/>
        </w:r>
        <w:r w:rsidR="001C3F21" w:rsidRPr="001C3F21">
          <w:rPr>
            <w:noProof/>
            <w:lang w:val="es-ES"/>
          </w:rPr>
          <w:t>5</w:t>
        </w:r>
        <w:r>
          <w:fldChar w:fldCharType="end"/>
        </w:r>
      </w:p>
    </w:sdtContent>
  </w:sdt>
  <w:p w:rsidR="00394559" w:rsidRDefault="0039455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618A" w:rsidRDefault="0032618A" w:rsidP="00DD3F25">
      <w:pPr>
        <w:spacing w:after="0" w:line="240" w:lineRule="auto"/>
      </w:pPr>
      <w:r>
        <w:separator/>
      </w:r>
    </w:p>
  </w:footnote>
  <w:footnote w:type="continuationSeparator" w:id="0">
    <w:p w:rsidR="0032618A" w:rsidRDefault="0032618A" w:rsidP="00DD3F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4559" w:rsidRDefault="00394559" w:rsidP="00441896">
    <w:pPr>
      <w:pStyle w:val="Encabezado"/>
      <w:tabs>
        <w:tab w:val="clear" w:pos="4419"/>
      </w:tabs>
    </w:pPr>
    <w:r>
      <w:rPr>
        <w:noProof/>
        <w:lang w:eastAsia="es-MX"/>
      </w:rPr>
      <mc:AlternateContent>
        <mc:Choice Requires="wps">
          <w:drawing>
            <wp:anchor distT="0" distB="0" distL="114300" distR="114300" simplePos="0" relativeHeight="251657728" behindDoc="0" locked="0" layoutInCell="1" allowOverlap="1" wp14:anchorId="447D3E8A" wp14:editId="13D506C9">
              <wp:simplePos x="0" y="0"/>
              <wp:positionH relativeFrom="column">
                <wp:posOffset>-137795</wp:posOffset>
              </wp:positionH>
              <wp:positionV relativeFrom="paragraph">
                <wp:posOffset>68269</wp:posOffset>
              </wp:positionV>
              <wp:extent cx="2374265" cy="724619"/>
              <wp:effectExtent l="0" t="0" r="317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724619"/>
                      </a:xfrm>
                      <a:prstGeom prst="rect">
                        <a:avLst/>
                      </a:prstGeom>
                      <a:solidFill>
                        <a:srgbClr val="FFFFFF"/>
                      </a:solidFill>
                      <a:ln w="9525">
                        <a:noFill/>
                        <a:miter lim="800000"/>
                        <a:headEnd/>
                        <a:tailEnd/>
                      </a:ln>
                    </wps:spPr>
                    <wps:txbx>
                      <w:txbxContent>
                        <w:p w:rsidR="00394559" w:rsidRDefault="00394559">
                          <w:r>
                            <w:rPr>
                              <w:noProof/>
                              <w:lang w:eastAsia="es-MX"/>
                            </w:rPr>
                            <w:drawing>
                              <wp:inline distT="0" distB="0" distL="0" distR="0" wp14:anchorId="215A56F3" wp14:editId="21C6675E">
                                <wp:extent cx="2049780" cy="624251"/>
                                <wp:effectExtent l="0" t="0" r="7620" b="4445"/>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9780" cy="624251"/>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447D3E8A" id="_x0000_t202" coordsize="21600,21600" o:spt="202" path="m,l,21600r21600,l21600,xe">
              <v:stroke joinstyle="miter"/>
              <v:path gradientshapeok="t" o:connecttype="rect"/>
            </v:shapetype>
            <v:shape id="Cuadro de texto 2" o:spid="_x0000_s1026" type="#_x0000_t202" style="position:absolute;margin-left:-10.85pt;margin-top:5.4pt;width:186.95pt;height:57.05pt;z-index:25165772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" stroked="f">
              <v:textbox>
                <w:txbxContent>
                  <w:p w:rsidR="00394559" w:rsidRDefault="00394559">
                    <w:r>
                      <w:rPr>
                        <w:noProof/>
                        <w:lang w:eastAsia="es-MX"/>
                      </w:rPr>
                      <w:drawing>
                        <wp:inline distT="0" distB="0" distL="0" distR="0" wp14:anchorId="215A56F3" wp14:editId="21C6675E">
                          <wp:extent cx="2049780" cy="624251"/>
                          <wp:effectExtent l="0" t="0" r="7620" b="4445"/>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49780" cy="624251"/>
                                  </a:xfrm>
                                  <a:prstGeom prst="rect">
                                    <a:avLst/>
                                  </a:prstGeom>
                                  <a:noFill/>
                                  <a:ln>
                                    <a:noFill/>
                                  </a:ln>
                                </pic:spPr>
                              </pic:pic>
                            </a:graphicData>
                          </a:graphic>
                        </wp:inline>
                      </w:drawing>
                    </w:r>
                  </w:p>
                </w:txbxContent>
              </v:textbox>
            </v:shape>
          </w:pict>
        </mc:Fallback>
      </mc:AlternateContent>
    </w:r>
    <w:r>
      <w:rPr>
        <w:noProof/>
        <w:lang w:eastAsia="es-MX"/>
      </w:rPr>
      <w:drawing>
        <wp:anchor distT="0" distB="0" distL="114300" distR="114300" simplePos="0" relativeHeight="251656704" behindDoc="0" locked="0" layoutInCell="1" allowOverlap="1" wp14:anchorId="263F1D2C" wp14:editId="5E4EF26E">
          <wp:simplePos x="0" y="0"/>
          <wp:positionH relativeFrom="column">
            <wp:posOffset>4377055</wp:posOffset>
          </wp:positionH>
          <wp:positionV relativeFrom="paragraph">
            <wp:posOffset>153670</wp:posOffset>
          </wp:positionV>
          <wp:extent cx="1265555" cy="527050"/>
          <wp:effectExtent l="0" t="0" r="0" b="6350"/>
          <wp:wrapNone/>
          <wp:docPr id="30"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3"/>
                  <a:srcRect/>
                  <a:stretch>
                    <a:fillRect/>
                  </a:stretch>
                </pic:blipFill>
                <pic:spPr bwMode="auto">
                  <a:xfrm>
                    <a:off x="0" y="0"/>
                    <a:ext cx="1265555" cy="527050"/>
                  </a:xfrm>
                  <a:prstGeom prst="rect">
                    <a:avLst/>
                  </a:prstGeom>
                  <a:noFill/>
                  <a:ln w="9525">
                    <a:noFill/>
                    <a:miter lim="800000"/>
                    <a:headEnd/>
                    <a:tailEnd/>
                  </a:ln>
                </pic:spPr>
              </pic:pic>
            </a:graphicData>
          </a:graphic>
        </wp:anchor>
      </w:drawing>
    </w:r>
    <w:r>
      <w:t xml:space="preserve">                                                 </w:t>
    </w:r>
    <w:r>
      <w:rPr>
        <w:noProof/>
        <w:lang w:eastAsia="es-MX"/>
      </w:rPr>
      <w:t xml:space="preserve">                                                                   </w:t>
    </w:r>
    <w:r w:rsidR="0032618A">
      <w:rPr>
        <w:noProof/>
        <w:lang w:val="es-ES"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53.85pt;margin-top:2in;width:407.9pt;height:411.15pt;z-index:-251657728;mso-wrap-edited:f;mso-position-horizontal:absolute;mso-position-horizontal-relative:margin;mso-position-vertical-relative:margin" wrapcoords="-33 0 -33 21533 21600 21533 21600 0 -33 0">
          <v:imagedata r:id="rId4" o:title="escudo nacional_negro" gain="19661f" blacklevel="30147f"/>
          <w10:wrap anchorx="margin" anchory="margin"/>
        </v:shape>
      </w:pict>
    </w:r>
  </w:p>
  <w:p w:rsidR="00394559" w:rsidRDefault="00394559">
    <w:pPr>
      <w:pStyle w:val="Encabezado"/>
    </w:pPr>
  </w:p>
  <w:p w:rsidR="00394559" w:rsidRDefault="00394559">
    <w:pPr>
      <w:pStyle w:val="Encabezado"/>
    </w:pPr>
  </w:p>
  <w:p w:rsidR="00394559" w:rsidRDefault="00394559">
    <w:pPr>
      <w:pStyle w:val="Encabezado"/>
    </w:pPr>
  </w:p>
  <w:p w:rsidR="00394559" w:rsidRDefault="0039455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CB67B2"/>
    <w:multiLevelType w:val="hybridMultilevel"/>
    <w:tmpl w:val="4046276A"/>
    <w:lvl w:ilvl="0" w:tplc="B1C2EF98">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58C4331"/>
    <w:multiLevelType w:val="hybridMultilevel"/>
    <w:tmpl w:val="031CAC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E9A3201"/>
    <w:multiLevelType w:val="hybridMultilevel"/>
    <w:tmpl w:val="3F200D0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76F0019"/>
    <w:multiLevelType w:val="hybridMultilevel"/>
    <w:tmpl w:val="764CE546"/>
    <w:lvl w:ilvl="0" w:tplc="87986552">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ADD15EB"/>
    <w:multiLevelType w:val="hybridMultilevel"/>
    <w:tmpl w:val="23EEBB4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E2B06E9"/>
    <w:multiLevelType w:val="hybridMultilevel"/>
    <w:tmpl w:val="B61E523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6B974346"/>
    <w:multiLevelType w:val="hybridMultilevel"/>
    <w:tmpl w:val="C43CB4D0"/>
    <w:lvl w:ilvl="0" w:tplc="65528BC6">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6CE5675E"/>
    <w:multiLevelType w:val="hybridMultilevel"/>
    <w:tmpl w:val="AEC2FA9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D0517CC"/>
    <w:multiLevelType w:val="hybridMultilevel"/>
    <w:tmpl w:val="C6F42326"/>
    <w:lvl w:ilvl="0" w:tplc="B554E938">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7"/>
  </w:num>
  <w:num w:numId="2">
    <w:abstractNumId w:val="0"/>
  </w:num>
  <w:num w:numId="3">
    <w:abstractNumId w:val="2"/>
  </w:num>
  <w:num w:numId="4">
    <w:abstractNumId w:val="8"/>
  </w:num>
  <w:num w:numId="5">
    <w:abstractNumId w:val="4"/>
  </w:num>
  <w:num w:numId="6">
    <w:abstractNumId w:val="6"/>
  </w:num>
  <w:num w:numId="7">
    <w:abstractNumId w:val="5"/>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F25"/>
    <w:rsid w:val="00001C89"/>
    <w:rsid w:val="00003BE0"/>
    <w:rsid w:val="00014138"/>
    <w:rsid w:val="000261F2"/>
    <w:rsid w:val="00045599"/>
    <w:rsid w:val="00063383"/>
    <w:rsid w:val="0006682C"/>
    <w:rsid w:val="00072C9D"/>
    <w:rsid w:val="0008744E"/>
    <w:rsid w:val="00090260"/>
    <w:rsid w:val="00093EB1"/>
    <w:rsid w:val="00096FFB"/>
    <w:rsid w:val="000A0BEA"/>
    <w:rsid w:val="000B13E2"/>
    <w:rsid w:val="000D4E51"/>
    <w:rsid w:val="000E087D"/>
    <w:rsid w:val="000E6F2E"/>
    <w:rsid w:val="000F4899"/>
    <w:rsid w:val="00101AB0"/>
    <w:rsid w:val="00106A15"/>
    <w:rsid w:val="00126694"/>
    <w:rsid w:val="00130791"/>
    <w:rsid w:val="00140896"/>
    <w:rsid w:val="00144B59"/>
    <w:rsid w:val="00161AE8"/>
    <w:rsid w:val="00161EBC"/>
    <w:rsid w:val="00164C5D"/>
    <w:rsid w:val="00190968"/>
    <w:rsid w:val="00191C89"/>
    <w:rsid w:val="00196A5C"/>
    <w:rsid w:val="001B5DDC"/>
    <w:rsid w:val="001C3F21"/>
    <w:rsid w:val="001C78C4"/>
    <w:rsid w:val="001E1B5F"/>
    <w:rsid w:val="001F3F9B"/>
    <w:rsid w:val="001F5F44"/>
    <w:rsid w:val="00203B37"/>
    <w:rsid w:val="0020427D"/>
    <w:rsid w:val="00207580"/>
    <w:rsid w:val="00224EA9"/>
    <w:rsid w:val="0024253C"/>
    <w:rsid w:val="002434E4"/>
    <w:rsid w:val="002515A4"/>
    <w:rsid w:val="00251FB6"/>
    <w:rsid w:val="0026755B"/>
    <w:rsid w:val="002A1B8F"/>
    <w:rsid w:val="002A35C6"/>
    <w:rsid w:val="002F130C"/>
    <w:rsid w:val="002F689D"/>
    <w:rsid w:val="00305C25"/>
    <w:rsid w:val="0031279D"/>
    <w:rsid w:val="00312908"/>
    <w:rsid w:val="0032571F"/>
    <w:rsid w:val="0032618A"/>
    <w:rsid w:val="00335915"/>
    <w:rsid w:val="00382024"/>
    <w:rsid w:val="00394559"/>
    <w:rsid w:val="003A090A"/>
    <w:rsid w:val="003C0CF6"/>
    <w:rsid w:val="003C204A"/>
    <w:rsid w:val="003C2888"/>
    <w:rsid w:val="003C5564"/>
    <w:rsid w:val="003C68B7"/>
    <w:rsid w:val="003D219F"/>
    <w:rsid w:val="00403A6D"/>
    <w:rsid w:val="00410C97"/>
    <w:rsid w:val="0042036E"/>
    <w:rsid w:val="00422EEE"/>
    <w:rsid w:val="0042377D"/>
    <w:rsid w:val="0042479F"/>
    <w:rsid w:val="00441896"/>
    <w:rsid w:val="00442C7B"/>
    <w:rsid w:val="00443BBD"/>
    <w:rsid w:val="0044430C"/>
    <w:rsid w:val="004463E3"/>
    <w:rsid w:val="00455793"/>
    <w:rsid w:val="0047058C"/>
    <w:rsid w:val="00477FD2"/>
    <w:rsid w:val="00486769"/>
    <w:rsid w:val="004A774A"/>
    <w:rsid w:val="004B4E5E"/>
    <w:rsid w:val="004D04A0"/>
    <w:rsid w:val="004E15AE"/>
    <w:rsid w:val="00536862"/>
    <w:rsid w:val="00555072"/>
    <w:rsid w:val="005573A2"/>
    <w:rsid w:val="00583EEF"/>
    <w:rsid w:val="005970F5"/>
    <w:rsid w:val="005D1CF2"/>
    <w:rsid w:val="005D45DD"/>
    <w:rsid w:val="005D77C0"/>
    <w:rsid w:val="005E7A58"/>
    <w:rsid w:val="00601AF0"/>
    <w:rsid w:val="006113AF"/>
    <w:rsid w:val="006203AA"/>
    <w:rsid w:val="00620D4C"/>
    <w:rsid w:val="00627118"/>
    <w:rsid w:val="00645E0A"/>
    <w:rsid w:val="00647F8E"/>
    <w:rsid w:val="0065531E"/>
    <w:rsid w:val="00655623"/>
    <w:rsid w:val="00662C2E"/>
    <w:rsid w:val="00673C7A"/>
    <w:rsid w:val="00676D78"/>
    <w:rsid w:val="0068015C"/>
    <w:rsid w:val="00694A36"/>
    <w:rsid w:val="006A0372"/>
    <w:rsid w:val="006A06A4"/>
    <w:rsid w:val="006D0E02"/>
    <w:rsid w:val="006E3A0E"/>
    <w:rsid w:val="00717027"/>
    <w:rsid w:val="00717127"/>
    <w:rsid w:val="00743317"/>
    <w:rsid w:val="0075101C"/>
    <w:rsid w:val="0076179C"/>
    <w:rsid w:val="00764EAC"/>
    <w:rsid w:val="00772FCA"/>
    <w:rsid w:val="00782711"/>
    <w:rsid w:val="0078511E"/>
    <w:rsid w:val="00787536"/>
    <w:rsid w:val="007A3E96"/>
    <w:rsid w:val="007A4386"/>
    <w:rsid w:val="007C57A0"/>
    <w:rsid w:val="007E3B9D"/>
    <w:rsid w:val="007E5137"/>
    <w:rsid w:val="007E604A"/>
    <w:rsid w:val="007F0032"/>
    <w:rsid w:val="007F7A7D"/>
    <w:rsid w:val="00810418"/>
    <w:rsid w:val="00814A51"/>
    <w:rsid w:val="00822705"/>
    <w:rsid w:val="00826A73"/>
    <w:rsid w:val="00845288"/>
    <w:rsid w:val="00845DB2"/>
    <w:rsid w:val="0085557D"/>
    <w:rsid w:val="00861B62"/>
    <w:rsid w:val="0086351E"/>
    <w:rsid w:val="00870CC6"/>
    <w:rsid w:val="008731A6"/>
    <w:rsid w:val="008908E6"/>
    <w:rsid w:val="00891EBE"/>
    <w:rsid w:val="008A77E0"/>
    <w:rsid w:val="008B18E4"/>
    <w:rsid w:val="008D310A"/>
    <w:rsid w:val="008D44A6"/>
    <w:rsid w:val="008F6AE6"/>
    <w:rsid w:val="0090054E"/>
    <w:rsid w:val="00900EE4"/>
    <w:rsid w:val="00902431"/>
    <w:rsid w:val="00921A7B"/>
    <w:rsid w:val="009278DC"/>
    <w:rsid w:val="00943ED2"/>
    <w:rsid w:val="00944611"/>
    <w:rsid w:val="0094691A"/>
    <w:rsid w:val="00950A2D"/>
    <w:rsid w:val="00953710"/>
    <w:rsid w:val="00961EEE"/>
    <w:rsid w:val="009760AD"/>
    <w:rsid w:val="00977016"/>
    <w:rsid w:val="00982E95"/>
    <w:rsid w:val="00990FC4"/>
    <w:rsid w:val="00994310"/>
    <w:rsid w:val="00996EFA"/>
    <w:rsid w:val="009B2B2C"/>
    <w:rsid w:val="009B5EC9"/>
    <w:rsid w:val="009D02E3"/>
    <w:rsid w:val="009D1949"/>
    <w:rsid w:val="009F630A"/>
    <w:rsid w:val="00A17A2C"/>
    <w:rsid w:val="00A17BC6"/>
    <w:rsid w:val="00A200D6"/>
    <w:rsid w:val="00A309B0"/>
    <w:rsid w:val="00A5036C"/>
    <w:rsid w:val="00A548BA"/>
    <w:rsid w:val="00A61DFC"/>
    <w:rsid w:val="00A74D7E"/>
    <w:rsid w:val="00A83AC9"/>
    <w:rsid w:val="00A92479"/>
    <w:rsid w:val="00AB6613"/>
    <w:rsid w:val="00AC33D7"/>
    <w:rsid w:val="00AE3953"/>
    <w:rsid w:val="00B007BC"/>
    <w:rsid w:val="00B0177E"/>
    <w:rsid w:val="00B01EAD"/>
    <w:rsid w:val="00B0583F"/>
    <w:rsid w:val="00B06B46"/>
    <w:rsid w:val="00B25CBB"/>
    <w:rsid w:val="00B340F3"/>
    <w:rsid w:val="00B353C5"/>
    <w:rsid w:val="00B37749"/>
    <w:rsid w:val="00B57822"/>
    <w:rsid w:val="00B63895"/>
    <w:rsid w:val="00B64528"/>
    <w:rsid w:val="00B67426"/>
    <w:rsid w:val="00B713D5"/>
    <w:rsid w:val="00B714B1"/>
    <w:rsid w:val="00B84B23"/>
    <w:rsid w:val="00B90685"/>
    <w:rsid w:val="00B96F5B"/>
    <w:rsid w:val="00BA4970"/>
    <w:rsid w:val="00BA5274"/>
    <w:rsid w:val="00BE1921"/>
    <w:rsid w:val="00C10326"/>
    <w:rsid w:val="00C276F3"/>
    <w:rsid w:val="00C27E8E"/>
    <w:rsid w:val="00C42EA3"/>
    <w:rsid w:val="00C45F15"/>
    <w:rsid w:val="00C46C7A"/>
    <w:rsid w:val="00C5775F"/>
    <w:rsid w:val="00C62651"/>
    <w:rsid w:val="00C67240"/>
    <w:rsid w:val="00C76ABA"/>
    <w:rsid w:val="00C8296A"/>
    <w:rsid w:val="00C84D92"/>
    <w:rsid w:val="00C97BC6"/>
    <w:rsid w:val="00CA3844"/>
    <w:rsid w:val="00CA7F42"/>
    <w:rsid w:val="00CB5500"/>
    <w:rsid w:val="00CC1FF8"/>
    <w:rsid w:val="00CC47D6"/>
    <w:rsid w:val="00CD5D8B"/>
    <w:rsid w:val="00CD6331"/>
    <w:rsid w:val="00CE0DF3"/>
    <w:rsid w:val="00CF3DBC"/>
    <w:rsid w:val="00CF6808"/>
    <w:rsid w:val="00D003E3"/>
    <w:rsid w:val="00D14FEE"/>
    <w:rsid w:val="00D17189"/>
    <w:rsid w:val="00D205E9"/>
    <w:rsid w:val="00D2162B"/>
    <w:rsid w:val="00D320CE"/>
    <w:rsid w:val="00D32EFB"/>
    <w:rsid w:val="00D43AFA"/>
    <w:rsid w:val="00D45B5F"/>
    <w:rsid w:val="00D511F1"/>
    <w:rsid w:val="00D731A6"/>
    <w:rsid w:val="00D739B4"/>
    <w:rsid w:val="00D77BF1"/>
    <w:rsid w:val="00D831F5"/>
    <w:rsid w:val="00D8688A"/>
    <w:rsid w:val="00D90D20"/>
    <w:rsid w:val="00D91817"/>
    <w:rsid w:val="00D9187F"/>
    <w:rsid w:val="00D96A27"/>
    <w:rsid w:val="00DA4204"/>
    <w:rsid w:val="00DA5739"/>
    <w:rsid w:val="00DB1FCE"/>
    <w:rsid w:val="00DB4987"/>
    <w:rsid w:val="00DB77B6"/>
    <w:rsid w:val="00DD3F25"/>
    <w:rsid w:val="00DD4CB0"/>
    <w:rsid w:val="00DF269D"/>
    <w:rsid w:val="00DF346C"/>
    <w:rsid w:val="00DF4869"/>
    <w:rsid w:val="00E01A04"/>
    <w:rsid w:val="00E05BDE"/>
    <w:rsid w:val="00E17F6F"/>
    <w:rsid w:val="00E31E6A"/>
    <w:rsid w:val="00E3400C"/>
    <w:rsid w:val="00E4795E"/>
    <w:rsid w:val="00E64314"/>
    <w:rsid w:val="00E83971"/>
    <w:rsid w:val="00EB0AE4"/>
    <w:rsid w:val="00EB68F0"/>
    <w:rsid w:val="00EC7617"/>
    <w:rsid w:val="00EF70C3"/>
    <w:rsid w:val="00F01218"/>
    <w:rsid w:val="00F07C59"/>
    <w:rsid w:val="00F16412"/>
    <w:rsid w:val="00F22FA4"/>
    <w:rsid w:val="00F37556"/>
    <w:rsid w:val="00F377C8"/>
    <w:rsid w:val="00F462A3"/>
    <w:rsid w:val="00F5392F"/>
    <w:rsid w:val="00F5514C"/>
    <w:rsid w:val="00F602D5"/>
    <w:rsid w:val="00F64A07"/>
    <w:rsid w:val="00F66A92"/>
    <w:rsid w:val="00F67A9B"/>
    <w:rsid w:val="00F71368"/>
    <w:rsid w:val="00F80441"/>
    <w:rsid w:val="00F90458"/>
    <w:rsid w:val="00F95694"/>
    <w:rsid w:val="00FA278F"/>
    <w:rsid w:val="00FB2163"/>
    <w:rsid w:val="00FB32DC"/>
    <w:rsid w:val="00FC36A7"/>
    <w:rsid w:val="00FC6C13"/>
    <w:rsid w:val="00FC7C70"/>
    <w:rsid w:val="00FD2FD9"/>
    <w:rsid w:val="00FD5D5B"/>
    <w:rsid w:val="00FE6B52"/>
    <w:rsid w:val="00FF1717"/>
    <w:rsid w:val="00FF47F6"/>
    <w:rsid w:val="00FF6E6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3A39DA96-B051-4DF5-8B25-0A5DA438E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3C204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C204A"/>
    <w:rPr>
      <w:rFonts w:asciiTheme="majorHAnsi" w:eastAsiaTheme="majorEastAsia" w:hAnsiTheme="majorHAnsi" w:cstheme="majorBidi"/>
      <w:b/>
      <w:bCs/>
      <w:color w:val="365F91" w:themeColor="accent1" w:themeShade="BF"/>
      <w:sz w:val="28"/>
      <w:szCs w:val="28"/>
    </w:rPr>
  </w:style>
  <w:style w:type="character" w:styleId="Refdecomentario">
    <w:name w:val="annotation reference"/>
    <w:basedOn w:val="Fuentedeprrafopredeter"/>
    <w:uiPriority w:val="99"/>
    <w:semiHidden/>
    <w:unhideWhenUsed/>
    <w:rsid w:val="005D77C0"/>
    <w:rPr>
      <w:sz w:val="16"/>
      <w:szCs w:val="16"/>
    </w:rPr>
  </w:style>
  <w:style w:type="paragraph" w:styleId="Textocomentario">
    <w:name w:val="annotation text"/>
    <w:basedOn w:val="Normal"/>
    <w:link w:val="TextocomentarioCar"/>
    <w:uiPriority w:val="99"/>
    <w:semiHidden/>
    <w:unhideWhenUsed/>
    <w:rsid w:val="005D77C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D77C0"/>
    <w:rPr>
      <w:sz w:val="20"/>
      <w:szCs w:val="20"/>
    </w:rPr>
  </w:style>
  <w:style w:type="paragraph" w:styleId="Asuntodelcomentario">
    <w:name w:val="annotation subject"/>
    <w:basedOn w:val="Textocomentario"/>
    <w:next w:val="Textocomentario"/>
    <w:link w:val="AsuntodelcomentarioCar"/>
    <w:uiPriority w:val="99"/>
    <w:semiHidden/>
    <w:unhideWhenUsed/>
    <w:rsid w:val="005D77C0"/>
    <w:rPr>
      <w:b/>
      <w:bCs/>
    </w:rPr>
  </w:style>
  <w:style w:type="character" w:customStyle="1" w:styleId="AsuntodelcomentarioCar">
    <w:name w:val="Asunto del comentario Car"/>
    <w:basedOn w:val="TextocomentarioCar"/>
    <w:link w:val="Asuntodelcomentario"/>
    <w:uiPriority w:val="99"/>
    <w:semiHidden/>
    <w:rsid w:val="005D77C0"/>
    <w:rPr>
      <w:b/>
      <w:bCs/>
      <w:sz w:val="20"/>
      <w:szCs w:val="20"/>
    </w:rPr>
  </w:style>
  <w:style w:type="paragraph" w:styleId="Textodeglobo">
    <w:name w:val="Balloon Text"/>
    <w:basedOn w:val="Normal"/>
    <w:link w:val="TextodegloboCar"/>
    <w:uiPriority w:val="99"/>
    <w:semiHidden/>
    <w:unhideWhenUsed/>
    <w:rsid w:val="005D77C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D77C0"/>
    <w:rPr>
      <w:rFonts w:ascii="Tahoma" w:hAnsi="Tahoma" w:cs="Tahoma"/>
      <w:sz w:val="16"/>
      <w:szCs w:val="16"/>
    </w:rPr>
  </w:style>
  <w:style w:type="paragraph" w:styleId="Textosinformato">
    <w:name w:val="Plain Text"/>
    <w:basedOn w:val="Normal"/>
    <w:link w:val="TextosinformatoCar"/>
    <w:uiPriority w:val="99"/>
    <w:rsid w:val="005D77C0"/>
    <w:pPr>
      <w:spacing w:after="0" w:line="240" w:lineRule="auto"/>
    </w:pPr>
    <w:rPr>
      <w:rFonts w:ascii="Courier New" w:eastAsia="Times New Roman" w:hAnsi="Courier New" w:cs="Courier New"/>
      <w:sz w:val="20"/>
      <w:szCs w:val="20"/>
      <w:lang w:val="es-ES" w:eastAsia="es-ES"/>
    </w:rPr>
  </w:style>
  <w:style w:type="character" w:customStyle="1" w:styleId="TextosinformatoCar">
    <w:name w:val="Texto sin formato Car"/>
    <w:basedOn w:val="Fuentedeprrafopredeter"/>
    <w:link w:val="Textosinformato"/>
    <w:uiPriority w:val="99"/>
    <w:rsid w:val="005D77C0"/>
    <w:rPr>
      <w:rFonts w:ascii="Courier New" w:eastAsia="Times New Roman" w:hAnsi="Courier New" w:cs="Courier New"/>
      <w:sz w:val="20"/>
      <w:szCs w:val="20"/>
      <w:lang w:val="es-ES" w:eastAsia="es-ES"/>
    </w:rPr>
  </w:style>
  <w:style w:type="character" w:styleId="Hipervnculo">
    <w:name w:val="Hyperlink"/>
    <w:basedOn w:val="Fuentedeprrafopredeter"/>
    <w:uiPriority w:val="99"/>
    <w:unhideWhenUsed/>
    <w:rsid w:val="005D77C0"/>
    <w:rPr>
      <w:color w:val="0000FF" w:themeColor="hyperlink"/>
      <w:u w:val="single"/>
    </w:rPr>
  </w:style>
  <w:style w:type="paragraph" w:styleId="Encabezado">
    <w:name w:val="header"/>
    <w:basedOn w:val="Normal"/>
    <w:link w:val="EncabezadoCar"/>
    <w:uiPriority w:val="99"/>
    <w:unhideWhenUsed/>
    <w:rsid w:val="005D77C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D77C0"/>
  </w:style>
  <w:style w:type="paragraph" w:styleId="Piedepgina">
    <w:name w:val="footer"/>
    <w:basedOn w:val="Normal"/>
    <w:link w:val="PiedepginaCar"/>
    <w:uiPriority w:val="99"/>
    <w:unhideWhenUsed/>
    <w:rsid w:val="005D77C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D77C0"/>
  </w:style>
  <w:style w:type="table" w:styleId="Tablaconcuadrcula">
    <w:name w:val="Table Grid"/>
    <w:basedOn w:val="Tablanormal"/>
    <w:uiPriority w:val="59"/>
    <w:rsid w:val="005D77C0"/>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3A090A"/>
    <w:pPr>
      <w:spacing w:after="0" w:line="240" w:lineRule="auto"/>
    </w:pPr>
    <w:rPr>
      <w:sz w:val="20"/>
      <w:szCs w:val="20"/>
    </w:rPr>
  </w:style>
  <w:style w:type="character" w:customStyle="1" w:styleId="TextonotapieCar">
    <w:name w:val="Texto nota pie Car"/>
    <w:basedOn w:val="Fuentedeprrafopredeter"/>
    <w:link w:val="Textonotapie"/>
    <w:uiPriority w:val="99"/>
    <w:rsid w:val="003A090A"/>
    <w:rPr>
      <w:sz w:val="20"/>
      <w:szCs w:val="20"/>
    </w:rPr>
  </w:style>
  <w:style w:type="character" w:styleId="Refdenotaalpie">
    <w:name w:val="footnote reference"/>
    <w:basedOn w:val="Fuentedeprrafopredeter"/>
    <w:uiPriority w:val="99"/>
    <w:semiHidden/>
    <w:unhideWhenUsed/>
    <w:rsid w:val="003A090A"/>
    <w:rPr>
      <w:vertAlign w:val="superscript"/>
    </w:rPr>
  </w:style>
  <w:style w:type="paragraph" w:styleId="Sinespaciado">
    <w:name w:val="No Spacing"/>
    <w:uiPriority w:val="1"/>
    <w:qFormat/>
    <w:rsid w:val="00A74D7E"/>
    <w:pPr>
      <w:spacing w:after="0" w:line="240" w:lineRule="auto"/>
    </w:pPr>
  </w:style>
  <w:style w:type="paragraph" w:customStyle="1" w:styleId="CABEZA">
    <w:name w:val="CABEZA"/>
    <w:basedOn w:val="Normal"/>
    <w:link w:val="CABEZACar"/>
    <w:rsid w:val="00950A2D"/>
    <w:pPr>
      <w:spacing w:before="120" w:after="120" w:line="240" w:lineRule="auto"/>
      <w:ind w:left="284"/>
      <w:contextualSpacing/>
    </w:pPr>
    <w:rPr>
      <w:rFonts w:ascii="Soberana Sans" w:eastAsia="Times New Roman" w:hAnsi="Soberana Sans" w:cs="Times New Roman"/>
      <w:noProof/>
      <w:sz w:val="18"/>
      <w:szCs w:val="20"/>
      <w:lang w:val="en-US"/>
    </w:rPr>
  </w:style>
  <w:style w:type="character" w:customStyle="1" w:styleId="CABEZACar">
    <w:name w:val="CABEZA Car"/>
    <w:basedOn w:val="Fuentedeprrafopredeter"/>
    <w:link w:val="CABEZA"/>
    <w:rsid w:val="00950A2D"/>
    <w:rPr>
      <w:rFonts w:ascii="Soberana Sans" w:eastAsia="Times New Roman" w:hAnsi="Soberana Sans" w:cs="Times New Roman"/>
      <w:noProof/>
      <w:sz w:val="18"/>
      <w:szCs w:val="20"/>
      <w:lang w:val="en-US"/>
    </w:rPr>
  </w:style>
  <w:style w:type="paragraph" w:customStyle="1" w:styleId="Textocuadro">
    <w:name w:val="Texto cuadro"/>
    <w:basedOn w:val="Normal"/>
    <w:next w:val="Normal"/>
    <w:rsid w:val="00950A2D"/>
    <w:pPr>
      <w:spacing w:before="20" w:after="0" w:line="240" w:lineRule="auto"/>
    </w:pPr>
    <w:rPr>
      <w:rFonts w:ascii="Soberana Sans" w:eastAsia="Times New Roman" w:hAnsi="Soberana Sans" w:cs="Times New Roman"/>
      <w:sz w:val="12"/>
      <w:szCs w:val="20"/>
      <w:lang w:val="es-ES"/>
    </w:rPr>
  </w:style>
  <w:style w:type="paragraph" w:customStyle="1" w:styleId="Textocuadroneg">
    <w:name w:val="Texto cuadro neg"/>
    <w:basedOn w:val="Normal"/>
    <w:next w:val="Normal"/>
    <w:qFormat/>
    <w:rsid w:val="00950A2D"/>
    <w:pPr>
      <w:spacing w:before="20" w:after="0" w:line="240" w:lineRule="auto"/>
    </w:pPr>
    <w:rPr>
      <w:rFonts w:ascii="Soberana Sans" w:hAnsi="Soberana Sans"/>
      <w:b/>
      <w:sz w:val="12"/>
      <w:lang w:val="es-ES"/>
    </w:rPr>
  </w:style>
  <w:style w:type="paragraph" w:customStyle="1" w:styleId="Cdetextonegrita">
    <w:name w:val="C. de texto negrita"/>
    <w:basedOn w:val="Normal"/>
    <w:qFormat/>
    <w:rsid w:val="00950A2D"/>
    <w:pPr>
      <w:spacing w:after="120" w:line="240" w:lineRule="auto"/>
      <w:jc w:val="both"/>
    </w:pPr>
    <w:rPr>
      <w:rFonts w:ascii="Soberana Sans" w:eastAsia="Times New Roman" w:hAnsi="Soberana Sans" w:cs="Arial"/>
      <w:b/>
      <w:szCs w:val="20"/>
      <w:lang w:val="es-ES" w:eastAsia="es-ES"/>
    </w:rPr>
  </w:style>
  <w:style w:type="paragraph" w:customStyle="1" w:styleId="Cdetexto">
    <w:name w:val="C. de texto"/>
    <w:basedOn w:val="Normal"/>
    <w:qFormat/>
    <w:rsid w:val="00950A2D"/>
    <w:pPr>
      <w:spacing w:after="120" w:line="240" w:lineRule="auto"/>
      <w:jc w:val="both"/>
    </w:pPr>
    <w:rPr>
      <w:rFonts w:ascii="Soberana Sans" w:eastAsia="Times New Roman" w:hAnsi="Soberana Sans" w:cs="Arial"/>
      <w:szCs w:val="20"/>
      <w:lang w:val="es-ES" w:eastAsia="es-ES"/>
    </w:rPr>
  </w:style>
  <w:style w:type="paragraph" w:customStyle="1" w:styleId="Textocuadroneg1">
    <w:name w:val="Texto cuadro neg 1"/>
    <w:basedOn w:val="Textocuadroneg"/>
    <w:qFormat/>
    <w:rsid w:val="00950A2D"/>
    <w:pPr>
      <w:ind w:left="170"/>
    </w:pPr>
  </w:style>
  <w:style w:type="character" w:styleId="Hipervnculovisitado">
    <w:name w:val="FollowedHyperlink"/>
    <w:basedOn w:val="Fuentedeprrafopredeter"/>
    <w:uiPriority w:val="99"/>
    <w:semiHidden/>
    <w:unhideWhenUsed/>
    <w:rsid w:val="004A774A"/>
    <w:rPr>
      <w:color w:val="800080"/>
      <w:u w:val="single"/>
    </w:rPr>
  </w:style>
  <w:style w:type="paragraph" w:customStyle="1" w:styleId="xl64">
    <w:name w:val="xl64"/>
    <w:basedOn w:val="Normal"/>
    <w:rsid w:val="004A774A"/>
    <w:pPr>
      <w:pBdr>
        <w:top w:val="single" w:sz="8" w:space="0" w:color="auto"/>
        <w:left w:val="single" w:sz="8" w:space="0" w:color="auto"/>
        <w:bottom w:val="single" w:sz="8" w:space="0" w:color="auto"/>
        <w:right w:val="single" w:sz="8" w:space="0" w:color="auto"/>
      </w:pBdr>
      <w:shd w:val="clear" w:color="000000" w:fill="595959"/>
      <w:spacing w:before="100" w:beforeAutospacing="1" w:after="100" w:afterAutospacing="1" w:line="240" w:lineRule="auto"/>
      <w:jc w:val="center"/>
      <w:textAlignment w:val="center"/>
    </w:pPr>
    <w:rPr>
      <w:rFonts w:ascii="Cambria" w:eastAsia="Times New Roman" w:hAnsi="Cambria" w:cs="Times New Roman"/>
      <w:color w:val="FFFFFF"/>
      <w:sz w:val="18"/>
      <w:szCs w:val="18"/>
      <w:lang w:eastAsia="es-MX"/>
    </w:rPr>
  </w:style>
  <w:style w:type="paragraph" w:customStyle="1" w:styleId="xl65">
    <w:name w:val="xl65"/>
    <w:basedOn w:val="Normal"/>
    <w:rsid w:val="004A774A"/>
    <w:pPr>
      <w:pBdr>
        <w:top w:val="single" w:sz="8" w:space="0" w:color="auto"/>
        <w:bottom w:val="single" w:sz="8" w:space="0" w:color="auto"/>
        <w:right w:val="single" w:sz="8" w:space="0" w:color="auto"/>
      </w:pBdr>
      <w:shd w:val="clear" w:color="000000" w:fill="595959"/>
      <w:spacing w:before="100" w:beforeAutospacing="1" w:after="100" w:afterAutospacing="1" w:line="240" w:lineRule="auto"/>
      <w:jc w:val="center"/>
      <w:textAlignment w:val="center"/>
    </w:pPr>
    <w:rPr>
      <w:rFonts w:ascii="Cambria" w:eastAsia="Times New Roman" w:hAnsi="Cambria" w:cs="Times New Roman"/>
      <w:color w:val="FFFFFF"/>
      <w:sz w:val="18"/>
      <w:szCs w:val="18"/>
      <w:lang w:eastAsia="es-MX"/>
    </w:rPr>
  </w:style>
  <w:style w:type="paragraph" w:customStyle="1" w:styleId="xl66">
    <w:name w:val="xl66"/>
    <w:basedOn w:val="Normal"/>
    <w:rsid w:val="004A774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mbria" w:eastAsia="Times New Roman" w:hAnsi="Cambria" w:cs="Times New Roman"/>
      <w:color w:val="000000"/>
      <w:sz w:val="18"/>
      <w:szCs w:val="18"/>
      <w:lang w:eastAsia="es-MX"/>
    </w:rPr>
  </w:style>
  <w:style w:type="paragraph" w:customStyle="1" w:styleId="xl67">
    <w:name w:val="xl67"/>
    <w:basedOn w:val="Normal"/>
    <w:rsid w:val="004A774A"/>
    <w:pPr>
      <w:pBdr>
        <w:bottom w:val="single" w:sz="8" w:space="0" w:color="auto"/>
        <w:right w:val="single" w:sz="8" w:space="0" w:color="auto"/>
      </w:pBdr>
      <w:spacing w:before="100" w:beforeAutospacing="1" w:after="100" w:afterAutospacing="1" w:line="240" w:lineRule="auto"/>
      <w:jc w:val="center"/>
      <w:textAlignment w:val="center"/>
    </w:pPr>
    <w:rPr>
      <w:rFonts w:ascii="Cambria" w:eastAsia="Times New Roman" w:hAnsi="Cambria" w:cs="Times New Roman"/>
      <w:sz w:val="18"/>
      <w:szCs w:val="18"/>
      <w:lang w:eastAsia="es-MX"/>
    </w:rPr>
  </w:style>
  <w:style w:type="paragraph" w:customStyle="1" w:styleId="xl68">
    <w:name w:val="xl68"/>
    <w:basedOn w:val="Normal"/>
    <w:rsid w:val="004A774A"/>
    <w:pPr>
      <w:pBdr>
        <w:bottom w:val="single" w:sz="8" w:space="0" w:color="auto"/>
        <w:right w:val="single" w:sz="8" w:space="0" w:color="auto"/>
      </w:pBdr>
      <w:spacing w:before="100" w:beforeAutospacing="1" w:after="100" w:afterAutospacing="1" w:line="240" w:lineRule="auto"/>
      <w:jc w:val="center"/>
      <w:textAlignment w:val="center"/>
    </w:pPr>
    <w:rPr>
      <w:rFonts w:ascii="Cambria" w:eastAsia="Times New Roman" w:hAnsi="Cambria" w:cs="Times New Roman"/>
      <w:color w:val="000000"/>
      <w:sz w:val="18"/>
      <w:szCs w:val="18"/>
      <w:lang w:eastAsia="es-MX"/>
    </w:rPr>
  </w:style>
  <w:style w:type="paragraph" w:customStyle="1" w:styleId="xl69">
    <w:name w:val="xl69"/>
    <w:basedOn w:val="Normal"/>
    <w:rsid w:val="004A774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Cambria" w:eastAsia="Times New Roman" w:hAnsi="Cambria" w:cs="Times New Roman"/>
      <w:sz w:val="18"/>
      <w:szCs w:val="18"/>
      <w:lang w:eastAsia="es-MX"/>
    </w:rPr>
  </w:style>
  <w:style w:type="paragraph" w:customStyle="1" w:styleId="xl70">
    <w:name w:val="xl70"/>
    <w:basedOn w:val="Normal"/>
    <w:rsid w:val="004A774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Cambria" w:eastAsia="Times New Roman" w:hAnsi="Cambria" w:cs="Times New Roman"/>
      <w:color w:val="000000"/>
      <w:sz w:val="18"/>
      <w:szCs w:val="18"/>
      <w:lang w:eastAsia="es-MX"/>
    </w:rPr>
  </w:style>
  <w:style w:type="paragraph" w:customStyle="1" w:styleId="xl71">
    <w:name w:val="xl71"/>
    <w:basedOn w:val="Normal"/>
    <w:rsid w:val="004A774A"/>
    <w:pPr>
      <w:pBdr>
        <w:right w:val="single" w:sz="8" w:space="0" w:color="auto"/>
      </w:pBdr>
      <w:spacing w:before="100" w:beforeAutospacing="1" w:after="100" w:afterAutospacing="1" w:line="240" w:lineRule="auto"/>
      <w:jc w:val="center"/>
      <w:textAlignment w:val="center"/>
    </w:pPr>
    <w:rPr>
      <w:rFonts w:ascii="Cambria" w:eastAsia="Times New Roman" w:hAnsi="Cambria" w:cs="Times New Roman"/>
      <w:color w:val="000000"/>
      <w:sz w:val="18"/>
      <w:szCs w:val="18"/>
      <w:lang w:eastAsia="es-MX"/>
    </w:rPr>
  </w:style>
  <w:style w:type="paragraph" w:customStyle="1" w:styleId="xl72">
    <w:name w:val="xl72"/>
    <w:basedOn w:val="Normal"/>
    <w:rsid w:val="004A774A"/>
    <w:pPr>
      <w:spacing w:before="100" w:beforeAutospacing="1" w:after="100" w:afterAutospacing="1" w:line="240" w:lineRule="auto"/>
    </w:pPr>
    <w:rPr>
      <w:rFonts w:ascii="Cambria" w:eastAsia="Times New Roman" w:hAnsi="Cambria" w:cs="Times New Roman"/>
      <w:sz w:val="24"/>
      <w:szCs w:val="24"/>
      <w:lang w:eastAsia="es-MX"/>
    </w:rPr>
  </w:style>
  <w:style w:type="paragraph" w:styleId="Revisin">
    <w:name w:val="Revision"/>
    <w:hidden/>
    <w:uiPriority w:val="99"/>
    <w:semiHidden/>
    <w:rsid w:val="005970F5"/>
    <w:pPr>
      <w:spacing w:after="0" w:line="240" w:lineRule="auto"/>
    </w:pPr>
  </w:style>
  <w:style w:type="paragraph" w:styleId="Prrafodelista">
    <w:name w:val="List Paragraph"/>
    <w:basedOn w:val="Normal"/>
    <w:uiPriority w:val="34"/>
    <w:qFormat/>
    <w:rsid w:val="00E340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686768">
      <w:bodyDiv w:val="1"/>
      <w:marLeft w:val="0"/>
      <w:marRight w:val="0"/>
      <w:marTop w:val="0"/>
      <w:marBottom w:val="0"/>
      <w:divBdr>
        <w:top w:val="none" w:sz="0" w:space="0" w:color="auto"/>
        <w:left w:val="none" w:sz="0" w:space="0" w:color="auto"/>
        <w:bottom w:val="none" w:sz="0" w:space="0" w:color="auto"/>
        <w:right w:val="none" w:sz="0" w:space="0" w:color="auto"/>
      </w:divBdr>
    </w:div>
    <w:div w:id="1565798055">
      <w:bodyDiv w:val="1"/>
      <w:marLeft w:val="0"/>
      <w:marRight w:val="0"/>
      <w:marTop w:val="0"/>
      <w:marBottom w:val="0"/>
      <w:divBdr>
        <w:top w:val="none" w:sz="0" w:space="0" w:color="auto"/>
        <w:left w:val="none" w:sz="0" w:space="0" w:color="auto"/>
        <w:bottom w:val="none" w:sz="0" w:space="0" w:color="auto"/>
        <w:right w:val="none" w:sz="0" w:space="0" w:color="auto"/>
      </w:divBdr>
    </w:div>
    <w:div w:id="1587685129">
      <w:bodyDiv w:val="1"/>
      <w:marLeft w:val="0"/>
      <w:marRight w:val="0"/>
      <w:marTop w:val="0"/>
      <w:marBottom w:val="0"/>
      <w:divBdr>
        <w:top w:val="none" w:sz="0" w:space="0" w:color="auto"/>
        <w:left w:val="none" w:sz="0" w:space="0" w:color="auto"/>
        <w:bottom w:val="none" w:sz="0" w:space="0" w:color="auto"/>
        <w:right w:val="none" w:sz="0" w:space="0" w:color="auto"/>
      </w:divBdr>
    </w:div>
    <w:div w:id="1658075095">
      <w:bodyDiv w:val="1"/>
      <w:marLeft w:val="0"/>
      <w:marRight w:val="0"/>
      <w:marTop w:val="0"/>
      <w:marBottom w:val="0"/>
      <w:divBdr>
        <w:top w:val="none" w:sz="0" w:space="0" w:color="auto"/>
        <w:left w:val="none" w:sz="0" w:space="0" w:color="auto"/>
        <w:bottom w:val="none" w:sz="0" w:space="0" w:color="auto"/>
        <w:right w:val="none" w:sz="0" w:space="0" w:color="auto"/>
      </w:divBdr>
    </w:div>
    <w:div w:id="2143646209">
      <w:bodyDiv w:val="1"/>
      <w:marLeft w:val="0"/>
      <w:marRight w:val="0"/>
      <w:marTop w:val="0"/>
      <w:marBottom w:val="0"/>
      <w:divBdr>
        <w:top w:val="none" w:sz="0" w:space="0" w:color="auto"/>
        <w:left w:val="none" w:sz="0" w:space="0" w:color="auto"/>
        <w:bottom w:val="none" w:sz="0" w:space="0" w:color="auto"/>
        <w:right w:val="none" w:sz="0" w:space="0" w:color="auto"/>
      </w:divBdr>
      <w:divsChild>
        <w:div w:id="12200927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83940621">
              <w:marLeft w:val="0"/>
              <w:marRight w:val="0"/>
              <w:marTop w:val="0"/>
              <w:marBottom w:val="0"/>
              <w:divBdr>
                <w:top w:val="none" w:sz="0" w:space="0" w:color="auto"/>
                <w:left w:val="none" w:sz="0" w:space="0" w:color="auto"/>
                <w:bottom w:val="none" w:sz="0" w:space="0" w:color="auto"/>
                <w:right w:val="none" w:sz="0" w:space="0" w:color="auto"/>
              </w:divBdr>
              <w:divsChild>
                <w:div w:id="1865825902">
                  <w:marLeft w:val="0"/>
                  <w:marRight w:val="0"/>
                  <w:marTop w:val="0"/>
                  <w:marBottom w:val="0"/>
                  <w:divBdr>
                    <w:top w:val="none" w:sz="0" w:space="0" w:color="auto"/>
                    <w:left w:val="none" w:sz="0" w:space="0" w:color="auto"/>
                    <w:bottom w:val="none" w:sz="0" w:space="0" w:color="auto"/>
                    <w:right w:val="none" w:sz="0" w:space="0" w:color="auto"/>
                  </w:divBdr>
                  <w:divsChild>
                    <w:div w:id="1387222312">
                      <w:marLeft w:val="0"/>
                      <w:marRight w:val="0"/>
                      <w:marTop w:val="0"/>
                      <w:marBottom w:val="0"/>
                      <w:divBdr>
                        <w:top w:val="none" w:sz="0" w:space="0" w:color="auto"/>
                        <w:left w:val="none" w:sz="0" w:space="0" w:color="auto"/>
                        <w:bottom w:val="none" w:sz="0" w:space="0" w:color="auto"/>
                        <w:right w:val="none" w:sz="0" w:space="0" w:color="auto"/>
                      </w:divBdr>
                      <w:divsChild>
                        <w:div w:id="143690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ged.salud.gob.mx/contenidos/deppes/evaluaciones_filtros.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emf"/><Relationship Id="rId2" Type="http://schemas.openxmlformats.org/officeDocument/2006/relationships/image" Target="media/image10.png"/><Relationship Id="rId1" Type="http://schemas.openxmlformats.org/officeDocument/2006/relationships/image" Target="media/image1.png"/><Relationship Id="rId4"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MarcadorDePosición7</b:Tag>
    <b:SourceType>Book</b:SourceType>
    <b:Guid>{C1FED2CC-F77C-8040-9028-DF727872A4B0}</b:Guid>
    <b:Author>
      <b:Author>
        <b:Corporate>PAEMAE</b:Corporate>
      </b:Author>
    </b:Author>
    <b:Title>Programa de Acción Específico Medicina de Alta Especialidad</b:Title>
    <b:Publisher>Secretaría de Salud</b:Publisher>
    <b:City>México</b:City>
    <b:Year>2013</b:Year>
    <b:RefOrder>1</b:RefOrder>
  </b:Source>
  <b:Source>
    <b:Tag>CCISf</b:Tag>
    <b:SourceType>Report</b:SourceType>
    <b:Guid>{280648B1-73BF-8941-B666-B9FBF5FEB7A6}</b:Guid>
    <b:Author>
      <b:Author>
        <b:Corporate>CCINSHAE-Alin-P</b:Corporate>
      </b:Author>
    </b:Author>
    <b:Title>  Alineación al Plan Nacional de Desarro y Programa Sectorial de Salud 2013-2018 </b:Title>
    <b:Year>Sf</b:Year>
    <b:RefOrder>2</b:RefOrder>
  </b:Source>
  <b:Source>
    <b:Tag>Gob13</b:Tag>
    <b:SourceType>ElectronicSource</b:SourceType>
    <b:Guid>{0B972491-33D3-6A4E-A65C-C6E4FAA5344B}</b:Guid>
    <b:Author>
      <b:Author>
        <b:Corporate>Gobierno de la República/PND</b:Corporate>
      </b:Author>
    </b:Author>
    <b:Title>Plan Nacional de Desarrollo 2013-2018</b:Title>
    <b:Year>2013</b:Year>
    <b:Publisher>Presidencia de la República</b:Publisher>
    <b:CountryRegion>México</b:CountryRegion>
    <b:RefOrder>3</b:RefOrder>
  </b:Source>
  <b:Source>
    <b:Tag>MarcadorDePosición8</b:Tag>
    <b:SourceType>Report</b:SourceType>
    <b:Guid>{2F1E04C5-F742-4EB4-802F-02DF4286277B}</b:Guid>
    <b:Author>
      <b:Author>
        <b:Corporate>SS-PROSESA 2013-2018</b:Corporate>
      </b:Author>
    </b:Author>
    <b:Title>Programa Sectorial de Salud</b:Title>
    <b:Year>2013</b:Year>
    <b:Publisher>Secretaría de Salud</b:Publisher>
    <b:City>México</b:City>
    <b:RefOrder>4</b:RefOrder>
  </b:Source>
  <b:Source>
    <b:Tag>CCI18</b:Tag>
    <b:SourceType>Report</b:SourceType>
    <b:Guid>{47A7AC80-0FE5-B44B-AD83-B671368F7620}</b:Guid>
    <b:Author>
      <b:Author>
        <b:Corporate>CCINSHAE-NI-Poblaciones</b:Corporate>
      </b:Author>
    </b:Author>
    <b:Title>Nota informativa: Definición, cuantificación y justificación de la población potencial, objetivo y atendida 2017</b:Title>
    <b:Year>2018</b:Year>
    <b:RefOrder>8</b:RefOrder>
  </b:Source>
  <b:Source>
    <b:Tag>CCI181</b:Tag>
    <b:SourceType>Report</b:SourceType>
    <b:Guid>{0F03C49B-4860-054B-8EEA-9F1A5F861849}</b:Guid>
    <b:Author>
      <b:Author>
        <b:Corporate>CCINSHAE-conc-Pob.</b:Corporate>
      </b:Author>
    </b:Author>
    <b:Title>Determinnación poblacional por componente del Pp E023. Poblaciones Potencia, objetivo y atendida por unidad administrativa. y </b:Title>
    <b:Year>2018</b:Year>
    <b:RefOrder>9</b:RefOrder>
  </b:Source>
  <b:Source>
    <b:Tag>CCI17</b:Tag>
    <b:SourceType>Report</b:SourceType>
    <b:Guid>{68F1A89F-6376-AB49-B28E-F97A337C7D29}</b:Guid>
    <b:Author>
      <b:Author>
        <b:Corporate>CCINSHAE-conc-POB-edad-sexo</b:Corporate>
      </b:Author>
    </b:Author>
    <b:Title>Población atendida por entidad federativa, Edad y Sexo</b:Title>
    <b:Year>2017</b:Year>
    <b:RefOrder>10</b:RefOrder>
  </b:Source>
  <b:Source>
    <b:Tag>CCI185</b:Tag>
    <b:SourceType>Report</b:SourceType>
    <b:Guid>{EE6F92FE-2588-A84F-8928-7CB7317459FF}</b:Guid>
    <b:Author>
      <b:Author>
        <b:Corporate>CCINSHAE-BD-cobertura</b:Corporate>
      </b:Author>
    </b:Author>
    <b:Title>Evolución de la cobertura 2009-2017</b:Title>
    <b:Year>2018</b:Year>
    <b:Comments>Evolución de la cobertura 2009-2017</b:Comments>
    <b:RefOrder>11</b:RefOrder>
  </b:Source>
</b:Sources>
</file>

<file path=customXml/itemProps1.xml><?xml version="1.0" encoding="utf-8"?>
<ds:datastoreItem xmlns:ds="http://schemas.openxmlformats.org/officeDocument/2006/customXml" ds:itemID="{02DE408E-D182-4B4B-8103-C56158CD4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5</Pages>
  <Words>2123</Words>
  <Characters>11679</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Secretaria de Hacienda y Credito Publico</Company>
  <LinksUpToDate>false</LinksUpToDate>
  <CharactersWithSpaces>13775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Lourdes Teresita Espinosa Ramírez</dc:creator>
  <cp:lastModifiedBy>CCINSHAE</cp:lastModifiedBy>
  <cp:revision>16</cp:revision>
  <cp:lastPrinted>2018-10-12T22:58:00Z</cp:lastPrinted>
  <dcterms:created xsi:type="dcterms:W3CDTF">2018-10-10T22:37:00Z</dcterms:created>
  <dcterms:modified xsi:type="dcterms:W3CDTF">2018-10-15T16:39:00Z</dcterms:modified>
</cp:coreProperties>
</file>